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黑体" w:hAnsi="黑体" w:eastAsia="黑体"/>
          <w:sz w:val="32"/>
          <w:szCs w:val="28"/>
        </w:rPr>
      </w:pPr>
      <w:r>
        <w:rPr>
          <w:rFonts w:hint="eastAsia" w:ascii="黑体" w:hAnsi="黑体" w:eastAsia="黑体"/>
          <w:sz w:val="32"/>
          <w:szCs w:val="28"/>
        </w:rPr>
        <w:t>《</w:t>
      </w:r>
      <w:r>
        <w:rPr>
          <w:rFonts w:hint="eastAsia" w:ascii="黑体" w:hAnsi="黑体" w:eastAsia="黑体"/>
          <w:sz w:val="32"/>
          <w:szCs w:val="28"/>
          <w:lang w:val="en-US" w:eastAsia="zh-CN"/>
        </w:rPr>
        <w:t>新能源柱形电池壳智能冲压设备</w:t>
      </w:r>
      <w:r>
        <w:rPr>
          <w:rFonts w:hint="eastAsia" w:ascii="黑体" w:hAnsi="黑体" w:eastAsia="黑体"/>
          <w:sz w:val="32"/>
          <w:szCs w:val="28"/>
        </w:rPr>
        <w:t>》“浙江制造”标准编制说明</w:t>
      </w:r>
    </w:p>
    <w:p>
      <w:pPr>
        <w:pStyle w:val="10"/>
        <w:numPr>
          <w:ilvl w:val="0"/>
          <w:numId w:val="0"/>
        </w:numPr>
        <w:spacing w:before="312" w:after="312"/>
        <w:jc w:val="left"/>
        <w:rPr>
          <w:rFonts w:hAnsi="黑体"/>
          <w:sz w:val="24"/>
          <w:szCs w:val="24"/>
        </w:rPr>
      </w:pPr>
      <w:r>
        <w:rPr>
          <w:rFonts w:hint="eastAsia" w:hAnsi="黑体"/>
          <w:sz w:val="24"/>
          <w:szCs w:val="24"/>
        </w:rPr>
        <w:t>1  项目背景</w:t>
      </w:r>
    </w:p>
    <w:p>
      <w:pPr>
        <w:tabs>
          <w:tab w:val="left" w:pos="2160"/>
        </w:tabs>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lang w:eastAsia="zh-CN"/>
        </w:rPr>
        <w:t>新能源柱形电池壳智能冲压设备,产品的国民经济分类为：</w:t>
      </w:r>
      <w:r>
        <w:rPr>
          <w:rFonts w:hint="eastAsia" w:ascii="仿宋_GB2312" w:hAnsi="宋体" w:eastAsia="仿宋_GB2312"/>
          <w:sz w:val="24"/>
          <w:lang w:val="en-US" w:eastAsia="zh-CN"/>
        </w:rPr>
        <w:t>C</w:t>
      </w:r>
      <w:r>
        <w:rPr>
          <w:rFonts w:hint="eastAsia" w:ascii="仿宋_GB2312" w:hAnsi="宋体" w:eastAsia="仿宋_GB2312"/>
          <w:sz w:val="24"/>
          <w:lang w:eastAsia="zh-CN"/>
        </w:rPr>
        <w:t>3</w:t>
      </w:r>
      <w:r>
        <w:rPr>
          <w:rFonts w:hint="eastAsia" w:ascii="仿宋_GB2312" w:hAnsi="宋体" w:eastAsia="仿宋_GB2312"/>
          <w:sz w:val="24"/>
          <w:lang w:val="en-US" w:eastAsia="zh-CN"/>
        </w:rPr>
        <w:t>422</w:t>
      </w:r>
      <w:r>
        <w:rPr>
          <w:rFonts w:hint="eastAsia" w:ascii="仿宋_GB2312" w:hAnsi="宋体" w:eastAsia="仿宋_GB2312"/>
          <w:sz w:val="24"/>
          <w:lang w:eastAsia="zh-CN"/>
        </w:rPr>
        <w:t>，</w:t>
      </w:r>
      <w:r>
        <w:rPr>
          <w:rFonts w:hint="eastAsia" w:ascii="仿宋_GB2312" w:hAnsi="宋体" w:eastAsia="仿宋_GB2312"/>
          <w:sz w:val="24"/>
          <w:lang w:val="en-US" w:eastAsia="zh-CN"/>
        </w:rPr>
        <w:t>金属成形机床制造</w:t>
      </w:r>
      <w:r>
        <w:rPr>
          <w:rFonts w:hint="eastAsia" w:ascii="仿宋_GB2312" w:hAnsi="宋体" w:eastAsia="仿宋_GB2312"/>
          <w:sz w:val="24"/>
          <w:lang w:eastAsia="zh-CN"/>
        </w:rPr>
        <w:t>，国标标准分类号为25.120.10，国内标准分类号为J62。</w:t>
      </w:r>
    </w:p>
    <w:p>
      <w:pPr>
        <w:spacing w:line="360" w:lineRule="auto"/>
        <w:ind w:firstLine="420" w:firstLineChars="200"/>
        <w:rPr>
          <w:rFonts w:hint="default" w:ascii="仿宋_GB2312" w:hAnsi="宋体" w:eastAsia="仿宋_GB2312" w:cs="宋体"/>
          <w:szCs w:val="28"/>
          <w:lang w:val="en-US" w:eastAsia="zh-CN"/>
        </w:rPr>
      </w:pPr>
      <w:r>
        <w:rPr>
          <w:rFonts w:hint="eastAsia" w:ascii="仿宋_GB2312" w:hAnsi="宋体" w:eastAsia="仿宋_GB2312" w:cs="宋体"/>
          <w:szCs w:val="28"/>
        </w:rPr>
        <w:t>在我国新能源汽车快速发展的引领下，电动化已成为全球汽车发展的主要趋势，2020年1-12月，新能源汽车产销分别完成136.6万辆和136.7万辆，同比分别增长7.5%和10.9%</w:t>
      </w:r>
      <w:r>
        <w:rPr>
          <w:rFonts w:hint="eastAsia" w:ascii="仿宋_GB2312" w:hAnsi="宋体" w:eastAsia="仿宋_GB2312" w:cs="宋体"/>
          <w:szCs w:val="28"/>
          <w:lang w:eastAsia="zh-CN"/>
        </w:rPr>
        <w:t>。</w:t>
      </w:r>
      <w:r>
        <w:rPr>
          <w:rFonts w:hint="eastAsia" w:ascii="仿宋_GB2312" w:hAnsi="宋体" w:eastAsia="仿宋_GB2312" w:cs="宋体"/>
          <w:szCs w:val="28"/>
        </w:rPr>
        <w:t>展望未来数十年，以纯电动车、混合动力车为主的新能源汽车销量将持续保持较高的增长速度</w:t>
      </w:r>
      <w:r>
        <w:rPr>
          <w:rFonts w:hint="eastAsia" w:ascii="仿宋_GB2312" w:hAnsi="宋体" w:eastAsia="仿宋_GB2312" w:cs="宋体"/>
          <w:szCs w:val="28"/>
          <w:lang w:eastAsia="zh-CN"/>
        </w:rPr>
        <w:t>，</w:t>
      </w:r>
      <w:r>
        <w:rPr>
          <w:rFonts w:hint="eastAsia" w:ascii="仿宋_GB2312" w:hAnsi="宋体" w:eastAsia="仿宋_GB2312" w:cs="宋体"/>
          <w:szCs w:val="28"/>
        </w:rPr>
        <w:t>2025年我国新能源汽车销量将达到550万辆，占全球新能源汽车销量的50%；2030年我国新能源汽车销量将接近1200万辆，占全球电动车销量近40%。新能源柱形电池壳作为新能源动力系统带来的新部件，为汽车零部件行业带来了新的市场增量，其市场规模将获得快速提升，2025年我国电池壳市场规模将达到</w:t>
      </w:r>
      <w:r>
        <w:rPr>
          <w:rFonts w:hint="eastAsia" w:ascii="仿宋_GB2312" w:hAnsi="宋体" w:eastAsia="仿宋_GB2312" w:cs="宋体"/>
          <w:szCs w:val="28"/>
          <w:lang w:val="en-US" w:eastAsia="zh-CN"/>
        </w:rPr>
        <w:t>165</w:t>
      </w:r>
      <w:r>
        <w:rPr>
          <w:rFonts w:hint="eastAsia" w:ascii="仿宋_GB2312" w:hAnsi="宋体" w:eastAsia="仿宋_GB2312" w:cs="宋体"/>
          <w:szCs w:val="28"/>
        </w:rPr>
        <w:t>亿元</w:t>
      </w:r>
      <w:r>
        <w:rPr>
          <w:rFonts w:hint="eastAsia" w:ascii="仿宋_GB2312" w:hAnsi="宋体" w:eastAsia="仿宋_GB2312" w:cs="宋体"/>
          <w:szCs w:val="28"/>
          <w:lang w:eastAsia="zh-CN"/>
        </w:rPr>
        <w:t>，</w:t>
      </w:r>
      <w:r>
        <w:rPr>
          <w:rFonts w:hint="eastAsia" w:ascii="仿宋_GB2312" w:hAnsi="宋体" w:eastAsia="仿宋_GB2312" w:cs="宋体"/>
          <w:szCs w:val="28"/>
        </w:rPr>
        <w:t>20</w:t>
      </w:r>
      <w:r>
        <w:rPr>
          <w:rFonts w:hint="eastAsia" w:ascii="仿宋_GB2312" w:hAnsi="宋体" w:eastAsia="仿宋_GB2312" w:cs="宋体"/>
          <w:szCs w:val="28"/>
          <w:lang w:val="en-US" w:eastAsia="zh-CN"/>
        </w:rPr>
        <w:t>30</w:t>
      </w:r>
      <w:r>
        <w:rPr>
          <w:rFonts w:hint="eastAsia" w:ascii="仿宋_GB2312" w:hAnsi="宋体" w:eastAsia="仿宋_GB2312" w:cs="宋体"/>
          <w:szCs w:val="28"/>
        </w:rPr>
        <w:t>年达到</w:t>
      </w:r>
      <w:r>
        <w:rPr>
          <w:rFonts w:hint="eastAsia" w:ascii="仿宋_GB2312" w:hAnsi="宋体" w:eastAsia="仿宋_GB2312" w:cs="宋体"/>
          <w:szCs w:val="28"/>
          <w:lang w:val="en-US" w:eastAsia="zh-CN"/>
        </w:rPr>
        <w:t>360</w:t>
      </w:r>
      <w:r>
        <w:rPr>
          <w:rFonts w:hint="eastAsia" w:ascii="仿宋_GB2312" w:hAnsi="宋体" w:eastAsia="仿宋_GB2312" w:cs="宋体"/>
          <w:szCs w:val="28"/>
        </w:rPr>
        <w:t>亿元。参与动力电池系统壳体产品业务的汽车零部件供应商有望享受这一高速增长市场的红利。</w:t>
      </w:r>
      <w:r>
        <w:rPr>
          <w:rFonts w:hint="eastAsia" w:ascii="仿宋_GB2312" w:hAnsi="宋体" w:eastAsia="仿宋_GB2312" w:cs="宋体"/>
          <w:szCs w:val="28"/>
          <w:lang w:val="en-US" w:eastAsia="zh-CN"/>
        </w:rPr>
        <w:t>同样作为</w:t>
      </w:r>
      <w:r>
        <w:rPr>
          <w:rFonts w:hint="eastAsia" w:ascii="仿宋_GB2312" w:hAnsi="宋体" w:eastAsia="仿宋_GB2312" w:cs="宋体"/>
          <w:szCs w:val="28"/>
        </w:rPr>
        <w:t>新能源柱形电池壳智能冲压设备</w:t>
      </w:r>
      <w:r>
        <w:rPr>
          <w:rFonts w:hint="eastAsia" w:ascii="仿宋_GB2312" w:hAnsi="宋体" w:eastAsia="仿宋_GB2312" w:cs="宋体"/>
          <w:szCs w:val="28"/>
          <w:lang w:val="en-US" w:eastAsia="zh-CN"/>
        </w:rPr>
        <w:t>的供就商也将</w:t>
      </w:r>
      <w:r>
        <w:rPr>
          <w:rFonts w:hint="eastAsia" w:ascii="仿宋_GB2312" w:hAnsi="宋体" w:eastAsia="仿宋_GB2312" w:cs="宋体"/>
          <w:szCs w:val="28"/>
        </w:rPr>
        <w:t>享受这一高速增长市场的红利。</w:t>
      </w:r>
    </w:p>
    <w:p>
      <w:pPr>
        <w:tabs>
          <w:tab w:val="left" w:pos="2160"/>
        </w:tabs>
        <w:spacing w:line="360" w:lineRule="auto"/>
        <w:ind w:firstLine="420" w:firstLineChars="200"/>
        <w:rPr>
          <w:rFonts w:hint="eastAsia" w:ascii="仿宋_GB2312" w:hAnsi="宋体" w:eastAsia="仿宋_GB2312"/>
          <w:sz w:val="24"/>
        </w:rPr>
      </w:pPr>
      <w:r>
        <w:rPr>
          <w:rFonts w:hint="eastAsia" w:ascii="仿宋_GB2312" w:hAnsi="宋体" w:eastAsia="仿宋_GB2312" w:cs="宋体"/>
          <w:szCs w:val="28"/>
        </w:rPr>
        <w:t>新能源柱形电池壳智能冲压设备属于金属成形机床，在冲压设备中占比</w:t>
      </w:r>
      <w:r>
        <w:rPr>
          <w:rFonts w:hint="eastAsia" w:ascii="仿宋_GB2312" w:hAnsi="宋体" w:eastAsia="仿宋_GB2312" w:cs="宋体"/>
          <w:szCs w:val="28"/>
          <w:lang w:val="en-US" w:eastAsia="zh-CN"/>
        </w:rPr>
        <w:t>2</w:t>
      </w:r>
      <w:r>
        <w:rPr>
          <w:rFonts w:hint="eastAsia" w:ascii="仿宋_GB2312" w:hAnsi="宋体" w:eastAsia="仿宋_GB2312" w:cs="宋体"/>
          <w:szCs w:val="28"/>
        </w:rPr>
        <w:t>%以上，</w:t>
      </w:r>
      <w:r>
        <w:rPr>
          <w:rFonts w:hint="eastAsia" w:ascii="仿宋_GB2312" w:hAnsi="宋体" w:eastAsia="仿宋_GB2312" w:cs="宋体"/>
          <w:szCs w:val="28"/>
          <w:lang w:eastAsia="zh-CN"/>
        </w:rPr>
        <w:t>属于专用冲压设备，</w:t>
      </w:r>
      <w:r>
        <w:rPr>
          <w:rFonts w:hint="eastAsia" w:ascii="仿宋_GB2312" w:hAnsi="宋体" w:eastAsia="仿宋_GB2312" w:cs="宋体"/>
          <w:szCs w:val="28"/>
        </w:rPr>
        <w:t>在汽车等行业应用广泛。目前，绿色家电、新能源汽车等发展迅速，</w:t>
      </w:r>
      <w:r>
        <w:rPr>
          <w:rFonts w:hint="eastAsia" w:ascii="仿宋_GB2312" w:hAnsi="宋体" w:eastAsia="仿宋_GB2312" w:cs="宋体"/>
          <w:szCs w:val="28"/>
          <w:lang w:eastAsia="zh-CN"/>
        </w:rPr>
        <w:t>各国都对燃油车替代都有时间表</w:t>
      </w:r>
      <w:r>
        <w:rPr>
          <w:rFonts w:hint="eastAsia" w:ascii="仿宋_GB2312" w:hAnsi="宋体" w:eastAsia="仿宋_GB2312" w:cs="宋体"/>
          <w:szCs w:val="28"/>
          <w:lang w:val="en-US" w:eastAsia="zh-CN"/>
        </w:rPr>
        <w:t>,</w:t>
      </w:r>
      <w:r>
        <w:rPr>
          <w:rFonts w:hint="eastAsia" w:ascii="仿宋_GB2312" w:hAnsi="宋体" w:eastAsia="仿宋_GB2312" w:cs="宋体"/>
          <w:szCs w:val="28"/>
        </w:rPr>
        <w:t>对新能源柱形电池壳智能冲压设备发展</w:t>
      </w:r>
      <w:r>
        <w:rPr>
          <w:rFonts w:hint="eastAsia" w:ascii="仿宋_GB2312" w:hAnsi="宋体" w:eastAsia="仿宋_GB2312" w:cs="宋体"/>
          <w:szCs w:val="28"/>
          <w:lang w:eastAsia="zh-CN"/>
        </w:rPr>
        <w:t>需求</w:t>
      </w:r>
      <w:r>
        <w:rPr>
          <w:rFonts w:hint="eastAsia" w:ascii="仿宋_GB2312" w:hAnsi="宋体" w:eastAsia="仿宋_GB2312" w:cs="宋体"/>
          <w:szCs w:val="28"/>
        </w:rPr>
        <w:t>也将增大，</w:t>
      </w:r>
      <w:r>
        <w:rPr>
          <w:rFonts w:hint="eastAsia" w:ascii="仿宋_GB2312" w:hAnsi="宋体" w:eastAsia="仿宋_GB2312" w:cs="宋体"/>
          <w:szCs w:val="28"/>
          <w:lang w:eastAsia="zh-CN"/>
        </w:rPr>
        <w:t>市场上主要是日本旭精机生产</w:t>
      </w:r>
      <w:r>
        <w:rPr>
          <w:rFonts w:hint="eastAsia" w:ascii="仿宋_GB2312" w:hAnsi="宋体" w:eastAsia="仿宋_GB2312" w:cs="宋体"/>
          <w:szCs w:val="28"/>
          <w:lang w:val="en-US" w:eastAsia="zh-CN"/>
        </w:rPr>
        <w:t>,由于可以用在子弹壳的生产,对中国进口有限制要求,是卡脖子技术,</w:t>
      </w:r>
      <w:r>
        <w:rPr>
          <w:rFonts w:hint="eastAsia" w:ascii="仿宋_GB2312" w:hAnsi="宋体" w:eastAsia="仿宋_GB2312" w:cs="宋体"/>
          <w:szCs w:val="28"/>
          <w:lang w:eastAsia="zh-CN"/>
        </w:rPr>
        <w:t>我公司通过合作</w:t>
      </w:r>
      <w:r>
        <w:rPr>
          <w:rFonts w:hint="eastAsia" w:ascii="仿宋_GB2312" w:hAnsi="宋体" w:eastAsia="仿宋_GB2312" w:cs="宋体"/>
          <w:szCs w:val="28"/>
          <w:lang w:val="en-US" w:eastAsia="zh-CN"/>
        </w:rPr>
        <w:t>,深入研究,解决了卡脖子技术</w:t>
      </w:r>
      <w:r>
        <w:rPr>
          <w:rFonts w:hint="eastAsia" w:ascii="仿宋_GB2312" w:hAnsi="宋体" w:eastAsia="仿宋_GB2312" w:cs="宋体"/>
          <w:szCs w:val="28"/>
        </w:rPr>
        <w:t>，</w:t>
      </w:r>
      <w:r>
        <w:rPr>
          <w:rFonts w:hint="eastAsia" w:ascii="仿宋_GB2312" w:hAnsi="宋体" w:eastAsia="仿宋_GB2312" w:cs="宋体"/>
          <w:szCs w:val="28"/>
          <w:lang w:val="en-US" w:eastAsia="zh-CN"/>
        </w:rPr>
        <w:t>2020年成为浙江省内重点领域首台套产品，2020年宁波市科技应急公关项目</w:t>
      </w:r>
      <w:r>
        <w:rPr>
          <w:rFonts w:hint="eastAsia" w:ascii="仿宋_GB2312" w:hAnsi="宋体" w:eastAsia="仿宋_GB2312" w:cs="宋体"/>
          <w:szCs w:val="28"/>
        </w:rPr>
        <w:t>，随着我公司产品制造标准要求越来越高，已超越国内标准，部分条款已按国际标准进行制作，部分条款已优于国际标准，大量产品由于制造精度高，已出口到美国、巴西、土耳其、印度、俄罗斯等国家，并成为部分国际公司的OEM供应商。</w:t>
      </w:r>
    </w:p>
    <w:p>
      <w:pPr>
        <w:pStyle w:val="10"/>
        <w:numPr>
          <w:ilvl w:val="0"/>
          <w:numId w:val="0"/>
        </w:numPr>
        <w:spacing w:before="312" w:after="312"/>
        <w:jc w:val="left"/>
        <w:rPr>
          <w:rFonts w:hAnsi="黑体"/>
          <w:sz w:val="24"/>
          <w:szCs w:val="24"/>
        </w:rPr>
      </w:pPr>
      <w:r>
        <w:rPr>
          <w:rFonts w:hint="eastAsia" w:hAnsi="黑体"/>
          <w:sz w:val="24"/>
          <w:szCs w:val="24"/>
        </w:rPr>
        <w:t>2  项目来源</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由</w:t>
      </w:r>
      <w:r>
        <w:rPr>
          <w:rFonts w:hint="eastAsia" w:ascii="仿宋_GB2312" w:hAnsi="宋体" w:eastAsia="仿宋_GB2312"/>
          <w:sz w:val="24"/>
          <w:lang w:eastAsia="zh-CN"/>
        </w:rPr>
        <w:t>浙江易锻精密机械有限公司</w:t>
      </w:r>
      <w:r>
        <w:rPr>
          <w:rFonts w:hint="eastAsia" w:ascii="仿宋_GB2312" w:hAnsi="宋体" w:eastAsia="仿宋_GB2312"/>
          <w:sz w:val="24"/>
        </w:rPr>
        <w:t>向浙江省品牌建设联合会提出立项申请，经省品牌建设联合会专家答辩通过</w:t>
      </w:r>
      <w:r>
        <w:rPr>
          <w:rFonts w:hint="eastAsia" w:ascii="仿宋_GB2312" w:hAnsi="宋体" w:eastAsia="仿宋_GB2312"/>
          <w:sz w:val="24"/>
          <w:lang w:eastAsia="zh-CN"/>
        </w:rPr>
        <w:t>，</w:t>
      </w:r>
      <w:r>
        <w:rPr>
          <w:rFonts w:hint="eastAsia" w:ascii="仿宋_GB2312" w:hAnsi="宋体" w:eastAsia="仿宋_GB2312"/>
          <w:color w:val="FF0000"/>
          <w:sz w:val="24"/>
        </w:rPr>
        <w:t>并于202</w:t>
      </w:r>
      <w:r>
        <w:rPr>
          <w:rFonts w:hint="eastAsia" w:ascii="仿宋_GB2312" w:hAnsi="宋体" w:eastAsia="仿宋_GB2312"/>
          <w:color w:val="FF0000"/>
          <w:sz w:val="24"/>
          <w:lang w:val="en-US" w:eastAsia="zh-CN"/>
        </w:rPr>
        <w:t>1</w:t>
      </w:r>
      <w:r>
        <w:rPr>
          <w:rFonts w:hint="eastAsia" w:ascii="仿宋_GB2312" w:hAnsi="宋体" w:eastAsia="仿宋_GB2312"/>
          <w:color w:val="FF0000"/>
          <w:sz w:val="24"/>
        </w:rPr>
        <w:t>年</w:t>
      </w:r>
      <w:r>
        <w:rPr>
          <w:rFonts w:hint="eastAsia" w:ascii="仿宋_GB2312" w:hAnsi="宋体" w:eastAsia="仿宋_GB2312"/>
          <w:color w:val="FF0000"/>
          <w:sz w:val="24"/>
          <w:lang w:val="en-US" w:eastAsia="zh-CN"/>
        </w:rPr>
        <w:t>10</w:t>
      </w:r>
      <w:r>
        <w:rPr>
          <w:rFonts w:hint="eastAsia" w:ascii="仿宋_GB2312" w:hAnsi="宋体" w:eastAsia="仿宋_GB2312"/>
          <w:color w:val="FF0000"/>
          <w:sz w:val="24"/>
        </w:rPr>
        <w:t>月</w:t>
      </w:r>
      <w:r>
        <w:rPr>
          <w:rFonts w:hint="eastAsia" w:ascii="仿宋_GB2312" w:hAnsi="宋体" w:eastAsia="仿宋_GB2312"/>
          <w:color w:val="FF0000"/>
          <w:sz w:val="24"/>
          <w:lang w:val="en-US" w:eastAsia="zh-CN"/>
        </w:rPr>
        <w:t>13</w:t>
      </w:r>
      <w:r>
        <w:rPr>
          <w:rFonts w:hint="eastAsia" w:ascii="仿宋_GB2312" w:hAnsi="宋体" w:eastAsia="仿宋_GB2312"/>
          <w:color w:val="FF0000"/>
          <w:sz w:val="24"/>
        </w:rPr>
        <w:t>日印发了《关于发布202</w:t>
      </w:r>
      <w:r>
        <w:rPr>
          <w:rFonts w:hint="eastAsia" w:ascii="仿宋_GB2312" w:hAnsi="宋体" w:eastAsia="仿宋_GB2312"/>
          <w:color w:val="FF0000"/>
          <w:sz w:val="24"/>
          <w:lang w:val="en-US" w:eastAsia="zh-CN"/>
        </w:rPr>
        <w:t>1</w:t>
      </w:r>
      <w:r>
        <w:rPr>
          <w:rFonts w:hint="eastAsia" w:ascii="仿宋_GB2312" w:hAnsi="宋体" w:eastAsia="仿宋_GB2312"/>
          <w:color w:val="FF0000"/>
          <w:sz w:val="24"/>
        </w:rPr>
        <w:t>年第</w:t>
      </w:r>
      <w:r>
        <w:rPr>
          <w:rFonts w:hint="eastAsia" w:ascii="仿宋_GB2312" w:hAnsi="宋体" w:eastAsia="仿宋_GB2312"/>
          <w:color w:val="FF0000"/>
          <w:sz w:val="24"/>
          <w:lang w:val="en-US" w:eastAsia="zh-CN"/>
        </w:rPr>
        <w:t>五</w:t>
      </w:r>
      <w:r>
        <w:rPr>
          <w:rFonts w:hint="eastAsia" w:ascii="仿宋_GB2312" w:hAnsi="宋体" w:eastAsia="仿宋_GB2312"/>
          <w:color w:val="FF0000"/>
          <w:sz w:val="24"/>
        </w:rPr>
        <w:t>批“浙江制造”标准制订计划的通知》（浙品联（202</w:t>
      </w:r>
      <w:r>
        <w:rPr>
          <w:rFonts w:hint="eastAsia" w:ascii="仿宋_GB2312" w:hAnsi="宋体" w:eastAsia="仿宋_GB2312"/>
          <w:color w:val="FF0000"/>
          <w:sz w:val="24"/>
          <w:lang w:val="en-US" w:eastAsia="zh-CN"/>
        </w:rPr>
        <w:t>1</w:t>
      </w:r>
      <w:r>
        <w:rPr>
          <w:rFonts w:hint="eastAsia" w:ascii="仿宋_GB2312" w:hAnsi="宋体" w:eastAsia="仿宋_GB2312"/>
          <w:color w:val="FF0000"/>
          <w:sz w:val="24"/>
        </w:rPr>
        <w:t>）</w:t>
      </w:r>
      <w:r>
        <w:rPr>
          <w:rFonts w:hint="eastAsia" w:ascii="仿宋_GB2312" w:hAnsi="宋体" w:eastAsia="仿宋_GB2312"/>
          <w:color w:val="FF0000"/>
          <w:sz w:val="24"/>
          <w:lang w:val="en-US" w:eastAsia="zh-CN"/>
        </w:rPr>
        <w:t>11</w:t>
      </w:r>
      <w:r>
        <w:rPr>
          <w:rFonts w:hint="eastAsia" w:ascii="仿宋_GB2312" w:hAnsi="宋体" w:eastAsia="仿宋_GB2312"/>
          <w:color w:val="FF0000"/>
          <w:sz w:val="24"/>
        </w:rPr>
        <w:t>号），</w:t>
      </w:r>
      <w:r>
        <w:rPr>
          <w:rFonts w:hint="eastAsia" w:ascii="仿宋_GB2312" w:hAnsi="宋体" w:eastAsia="仿宋_GB2312"/>
          <w:sz w:val="24"/>
        </w:rPr>
        <w:t>项目名称：《</w:t>
      </w:r>
      <w:r>
        <w:rPr>
          <w:rFonts w:hint="eastAsia" w:ascii="仿宋_GB2312" w:hAnsi="宋体" w:eastAsia="仿宋_GB2312"/>
          <w:sz w:val="24"/>
          <w:lang w:val="en-US" w:eastAsia="zh-CN"/>
        </w:rPr>
        <w:t>新能源柱形电池壳智能冲压设备</w:t>
      </w:r>
      <w:r>
        <w:rPr>
          <w:rFonts w:hint="eastAsia" w:ascii="仿宋_GB2312" w:hAnsi="宋体" w:eastAsia="仿宋_GB2312"/>
          <w:sz w:val="24"/>
        </w:rPr>
        <w:t>》。</w:t>
      </w:r>
    </w:p>
    <w:p>
      <w:pPr>
        <w:pStyle w:val="10"/>
        <w:numPr>
          <w:ilvl w:val="0"/>
          <w:numId w:val="0"/>
        </w:numPr>
        <w:spacing w:before="312" w:after="312"/>
        <w:jc w:val="left"/>
        <w:rPr>
          <w:rFonts w:hAnsi="黑体"/>
          <w:sz w:val="24"/>
          <w:szCs w:val="24"/>
        </w:rPr>
      </w:pPr>
      <w:r>
        <w:rPr>
          <w:rFonts w:hint="eastAsia" w:hAnsi="黑体"/>
          <w:sz w:val="24"/>
          <w:szCs w:val="24"/>
        </w:rPr>
        <w:t>3   标准制定工作概况</w:t>
      </w:r>
    </w:p>
    <w:p>
      <w:pPr>
        <w:pStyle w:val="10"/>
        <w:numPr>
          <w:ilvl w:val="0"/>
          <w:numId w:val="0"/>
        </w:numPr>
        <w:spacing w:before="312" w:after="312"/>
        <w:jc w:val="left"/>
        <w:rPr>
          <w:rFonts w:hAnsi="黑体"/>
          <w:sz w:val="24"/>
          <w:szCs w:val="24"/>
        </w:rPr>
      </w:pPr>
      <w:r>
        <w:rPr>
          <w:rFonts w:hint="eastAsia" w:hAnsi="黑体"/>
          <w:sz w:val="24"/>
          <w:szCs w:val="24"/>
        </w:rPr>
        <w:t>3.1  标准制定相关单位及人员</w:t>
      </w:r>
    </w:p>
    <w:p>
      <w:pPr>
        <w:pStyle w:val="36"/>
        <w:spacing w:line="400" w:lineRule="exact"/>
        <w:jc w:val="left"/>
        <w:rPr>
          <w:rFonts w:hint="default" w:ascii="仿宋_GB2312" w:hAnsi="宋体" w:eastAsia="仿宋_GB2312" w:cs="Times New Roman"/>
          <w:color w:val="auto"/>
          <w:kern w:val="2"/>
          <w:sz w:val="24"/>
          <w:szCs w:val="24"/>
          <w:lang w:val="en-US" w:eastAsia="zh-CN" w:bidi="ar-SA"/>
        </w:rPr>
      </w:pPr>
      <w:r>
        <w:rPr>
          <w:rFonts w:hint="eastAsia" w:ascii="仿宋_GB2312" w:hAnsi="宋体" w:eastAsia="仿宋_GB2312" w:cs="Times New Roman"/>
          <w:color w:val="auto"/>
          <w:kern w:val="2"/>
          <w:sz w:val="24"/>
          <w:szCs w:val="24"/>
          <w:lang w:val="en-US" w:eastAsia="zh-CN" w:bidi="ar-SA"/>
        </w:rPr>
        <w:t>3.1.1本标准牵头组织制订单位：浙江省质量合格评定协会。</w:t>
      </w:r>
    </w:p>
    <w:p>
      <w:pPr>
        <w:tabs>
          <w:tab w:val="left" w:pos="2160"/>
        </w:tabs>
        <w:spacing w:line="360" w:lineRule="auto"/>
        <w:rPr>
          <w:rFonts w:hint="eastAsia" w:ascii="仿宋_GB2312" w:hAnsi="宋体" w:eastAsia="仿宋_GB2312"/>
          <w:sz w:val="24"/>
          <w:lang w:eastAsia="zh-CN"/>
        </w:rPr>
      </w:pPr>
      <w:r>
        <w:rPr>
          <w:rFonts w:hint="eastAsia" w:ascii="仿宋_GB2312" w:hAnsi="宋体" w:eastAsia="仿宋_GB2312" w:cs="Times New Roman"/>
          <w:color w:val="auto"/>
          <w:kern w:val="2"/>
          <w:sz w:val="24"/>
          <w:szCs w:val="24"/>
          <w:lang w:val="en-US" w:eastAsia="zh-CN" w:bidi="ar-SA"/>
        </w:rPr>
        <w:t>3.1.2本标准主要起草单位：浙江易锻精密机械有限公司</w:t>
      </w:r>
      <w:r>
        <w:rPr>
          <w:rFonts w:hint="eastAsia" w:ascii="仿宋_GB2312" w:hAnsi="宋体" w:eastAsia="仿宋_GB2312"/>
          <w:sz w:val="24"/>
          <w:lang w:eastAsia="zh-CN"/>
        </w:rPr>
        <w:t>。</w:t>
      </w:r>
    </w:p>
    <w:p>
      <w:pPr>
        <w:pStyle w:val="36"/>
        <w:spacing w:line="400" w:lineRule="exact"/>
        <w:jc w:val="left"/>
        <w:rPr>
          <w:rFonts w:hint="eastAsia" w:ascii="宋体" w:hAnsi="宋体" w:eastAsia="宋体" w:cs="宋体"/>
          <w:color w:val="FF0000"/>
          <w:spacing w:val="8"/>
          <w:sz w:val="24"/>
          <w:szCs w:val="24"/>
          <w:vertAlign w:val="baseline"/>
          <w:lang w:val="en-US" w:eastAsia="zh-CN"/>
        </w:rPr>
      </w:pPr>
      <w:r>
        <w:rPr>
          <w:rFonts w:hint="eastAsia" w:ascii="黑体" w:hAnsi="黑体" w:eastAsia="黑体"/>
          <w:color w:val="FF0000"/>
          <w:sz w:val="24"/>
        </w:rPr>
        <w:t>3.1.3</w:t>
      </w:r>
      <w:r>
        <w:rPr>
          <w:rFonts w:hint="eastAsia" w:ascii="仿宋_GB2312" w:hAnsi="宋体" w:eastAsia="仿宋_GB2312"/>
          <w:color w:val="FF0000"/>
          <w:sz w:val="24"/>
        </w:rPr>
        <w:t>本标准参</w:t>
      </w:r>
      <w:r>
        <w:rPr>
          <w:rFonts w:hint="eastAsia" w:ascii="仿宋_GB2312" w:hAnsi="宋体" w:eastAsia="仿宋_GB2312"/>
          <w:color w:val="FF0000"/>
          <w:sz w:val="24"/>
          <w:lang w:val="en-US" w:eastAsia="zh-CN"/>
        </w:rPr>
        <w:t>与起草单位</w:t>
      </w:r>
      <w:r>
        <w:rPr>
          <w:rFonts w:hint="eastAsia" w:ascii="仿宋_GB2312" w:hAnsi="宋体" w:eastAsia="仿宋_GB2312" w:cs="Times New Roman"/>
          <w:color w:val="FF0000"/>
          <w:kern w:val="2"/>
          <w:sz w:val="24"/>
          <w:szCs w:val="24"/>
          <w:lang w:val="en-US" w:eastAsia="zh-CN" w:bidi="ar-SA"/>
        </w:rPr>
        <w:t>：       。</w:t>
      </w:r>
    </w:p>
    <w:p>
      <w:pPr>
        <w:pStyle w:val="36"/>
        <w:spacing w:line="400" w:lineRule="exact"/>
        <w:jc w:val="left"/>
        <w:rPr>
          <w:rFonts w:hint="eastAsia" w:ascii="仿宋_GB2312" w:hAnsi="宋体" w:eastAsia="仿宋_GB2312" w:cs="Times New Roman"/>
          <w:color w:val="FF0000"/>
          <w:kern w:val="2"/>
          <w:sz w:val="24"/>
          <w:szCs w:val="24"/>
          <w:lang w:val="en-US" w:eastAsia="zh-CN" w:bidi="ar-SA"/>
        </w:rPr>
      </w:pPr>
      <w:r>
        <w:rPr>
          <w:rFonts w:hint="eastAsia" w:ascii="仿宋_GB2312" w:hAnsi="宋体" w:eastAsia="仿宋_GB2312" w:cs="Times New Roman"/>
          <w:color w:val="FF0000"/>
          <w:kern w:val="2"/>
          <w:sz w:val="24"/>
          <w:szCs w:val="24"/>
          <w:lang w:val="en-US" w:eastAsia="zh-CN" w:bidi="ar-SA"/>
        </w:rPr>
        <w:t>3.1.4 本标准起草人：      。</w:t>
      </w:r>
    </w:p>
    <w:p>
      <w:pPr>
        <w:pStyle w:val="10"/>
        <w:numPr>
          <w:ilvl w:val="0"/>
          <w:numId w:val="0"/>
        </w:numPr>
        <w:spacing w:before="312" w:after="312"/>
        <w:jc w:val="left"/>
        <w:rPr>
          <w:rFonts w:hAnsi="黑体"/>
          <w:sz w:val="24"/>
          <w:szCs w:val="24"/>
        </w:rPr>
      </w:pPr>
      <w:r>
        <w:rPr>
          <w:rFonts w:hint="eastAsia" w:hAnsi="黑体"/>
          <w:sz w:val="24"/>
          <w:szCs w:val="24"/>
        </w:rPr>
        <w:t>3.2  主要工作过程</w:t>
      </w:r>
    </w:p>
    <w:p>
      <w:pPr>
        <w:spacing w:line="500" w:lineRule="exact"/>
        <w:rPr>
          <w:rFonts w:ascii="仿宋_GB2312" w:hAnsi="宋体" w:eastAsia="仿宋_GB2312"/>
          <w:sz w:val="24"/>
        </w:rPr>
      </w:pPr>
      <w:r>
        <w:rPr>
          <w:rFonts w:hint="eastAsia" w:ascii="黑体" w:hAnsi="黑体" w:eastAsia="黑体"/>
          <w:sz w:val="24"/>
        </w:rPr>
        <w:t>3.2.1</w:t>
      </w:r>
      <w:r>
        <w:rPr>
          <w:rFonts w:hint="eastAsia" w:ascii="仿宋_GB2312" w:hAnsi="宋体" w:eastAsia="仿宋_GB2312"/>
          <w:sz w:val="24"/>
        </w:rPr>
        <w:t>前期准备工作。</w:t>
      </w:r>
    </w:p>
    <w:p>
      <w:pPr>
        <w:tabs>
          <w:tab w:val="left" w:pos="2160"/>
        </w:tabs>
        <w:spacing w:line="360" w:lineRule="auto"/>
        <w:ind w:firstLine="480" w:firstLineChars="200"/>
        <w:rPr>
          <w:rFonts w:hint="eastAsia" w:ascii="仿宋_GB2312" w:hAnsi="宋体" w:eastAsia="仿宋_GB2312"/>
          <w:color w:val="FF0000"/>
          <w:sz w:val="24"/>
          <w:lang w:val="en-US" w:eastAsia="zh-CN"/>
        </w:rPr>
      </w:pPr>
      <w:r>
        <w:rPr>
          <w:rFonts w:hint="eastAsia" w:ascii="仿宋_GB2312" w:hAnsi="宋体" w:eastAsia="仿宋_GB2312"/>
          <w:color w:val="FF0000"/>
          <w:sz w:val="24"/>
          <w:lang w:val="en-US" w:eastAsia="zh-CN"/>
        </w:rPr>
        <w:t>浙江易锻精密机械有限公司</w:t>
      </w:r>
      <w:r>
        <w:rPr>
          <w:rFonts w:hint="eastAsia" w:ascii="仿宋_GB2312" w:hAnsi="宋体" w:eastAsia="仿宋_GB2312"/>
          <w:color w:val="FF0000"/>
          <w:sz w:val="24"/>
        </w:rPr>
        <w:t>在获得立项通知后，成立了标准起草小组，小组成员来自</w:t>
      </w:r>
      <w:r>
        <w:rPr>
          <w:rFonts w:hint="eastAsia" w:ascii="仿宋_GB2312" w:hAnsi="宋体" w:eastAsia="仿宋_GB2312" w:cs="Times New Roman"/>
          <w:color w:val="FF0000"/>
          <w:kern w:val="2"/>
          <w:sz w:val="24"/>
          <w:szCs w:val="24"/>
          <w:lang w:val="en-US" w:eastAsia="zh-CN" w:bidi="ar-SA"/>
        </w:rPr>
        <w:t xml:space="preserve">                   </w:t>
      </w:r>
      <w:r>
        <w:rPr>
          <w:rFonts w:hint="eastAsia" w:ascii="仿宋_GB2312" w:hAnsi="宋体" w:eastAsia="仿宋_GB2312"/>
          <w:color w:val="FF0000"/>
          <w:sz w:val="24"/>
          <w:lang w:val="en-US" w:eastAsia="zh-CN"/>
        </w:rPr>
        <w:t>，并确定了工作计划和研制思路。</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lang w:val="en-US" w:eastAsia="zh-CN"/>
        </w:rPr>
        <w:t xml:space="preserve">标准起草小组收集了国内外相关标准和资料，包含:JB/T1647.2-2012 闭式压力机 第2部分 技术条件、GB/T10924-2009闭式单双点压力机精度、JB/T 3848-2020 闭式多工位压力机精度、GB 17120 锻压机械 安全技术条件、GB 27607-2011 机械压力机 安全技术要求、JIS B6402：2020 </w:t>
      </w:r>
      <w:r>
        <w:rPr>
          <w:rFonts w:hint="default" w:ascii="仿宋_GB2312" w:hAnsi="宋体" w:eastAsia="仿宋_GB2312"/>
          <w:sz w:val="24"/>
          <w:lang w:val="en-US" w:eastAsia="zh-CN"/>
        </w:rPr>
        <w:t>Mechanical presses</w:t>
      </w:r>
      <w:r>
        <w:rPr>
          <w:rFonts w:hint="eastAsia" w:ascii="仿宋_GB2312" w:hAnsi="宋体" w:eastAsia="仿宋_GB2312"/>
          <w:sz w:val="24"/>
          <w:lang w:val="en-US" w:eastAsia="zh-CN"/>
        </w:rPr>
        <w:t>—</w:t>
      </w:r>
      <w:r>
        <w:rPr>
          <w:rFonts w:hint="default" w:ascii="仿宋_GB2312" w:hAnsi="宋体" w:eastAsia="仿宋_GB2312"/>
          <w:sz w:val="24"/>
          <w:lang w:val="en-US" w:eastAsia="zh-CN"/>
        </w:rPr>
        <w:t xml:space="preserve"> Testing of the grades and the accuracy</w:t>
      </w:r>
      <w:r>
        <w:rPr>
          <w:rFonts w:hint="eastAsia" w:ascii="仿宋_GB2312" w:hAnsi="宋体" w:eastAsia="仿宋_GB2312"/>
          <w:sz w:val="24"/>
          <w:lang w:val="en-US" w:eastAsia="zh-CN"/>
        </w:rPr>
        <w:t>等，参考相关指标要求，并组织开展了</w:t>
      </w:r>
      <w:r>
        <w:rPr>
          <w:rFonts w:hint="eastAsia" w:ascii="仿宋_GB2312" w:hAnsi="宋体" w:eastAsia="仿宋_GB2312"/>
          <w:sz w:val="24"/>
        </w:rPr>
        <w:t>先进生产企业就企业的研</w:t>
      </w:r>
      <w:r>
        <w:rPr>
          <w:rFonts w:hint="eastAsia" w:ascii="仿宋_GB2312" w:hAnsi="宋体" w:eastAsia="仿宋_GB2312"/>
          <w:sz w:val="24"/>
          <w:lang w:val="en-US" w:eastAsia="zh-CN"/>
        </w:rPr>
        <w:t>发设计、选材、工艺、检验和装备能力的调研，实验室反复验证基本参数、精度、下死点动态重复精度、工作台刚性、噪声、温升等多个项目的数据</w:t>
      </w:r>
      <w:r>
        <w:rPr>
          <w:rFonts w:hint="eastAsia" w:ascii="仿宋_GB2312" w:hAnsi="宋体" w:eastAsia="仿宋_GB2312"/>
          <w:sz w:val="24"/>
        </w:rPr>
        <w:t>，从而确定标准框架。</w:t>
      </w:r>
    </w:p>
    <w:p>
      <w:pPr>
        <w:pStyle w:val="10"/>
        <w:numPr>
          <w:ilvl w:val="0"/>
          <w:numId w:val="0"/>
        </w:numPr>
        <w:spacing w:before="312" w:after="312"/>
        <w:jc w:val="left"/>
        <w:rPr>
          <w:rFonts w:hAnsi="黑体"/>
          <w:sz w:val="24"/>
          <w:szCs w:val="24"/>
        </w:rPr>
      </w:pPr>
      <w:r>
        <w:rPr>
          <w:rFonts w:hint="eastAsia" w:hAnsi="黑体"/>
          <w:sz w:val="24"/>
          <w:szCs w:val="24"/>
        </w:rPr>
        <w:t>3.2.2标准草案研制</w:t>
      </w:r>
    </w:p>
    <w:p>
      <w:pPr>
        <w:tabs>
          <w:tab w:val="left" w:pos="2160"/>
        </w:tabs>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rPr>
        <w:t>标准起草小组以搜集的国内外相关标准和资料为基础，对标国内</w:t>
      </w:r>
      <w:r>
        <w:rPr>
          <w:rFonts w:hint="eastAsia" w:ascii="仿宋_GB2312" w:hAnsi="宋体" w:eastAsia="仿宋_GB2312"/>
          <w:sz w:val="24"/>
          <w:lang w:val="en-US" w:eastAsia="zh-CN"/>
        </w:rPr>
        <w:t>外高端客户</w:t>
      </w:r>
      <w:r>
        <w:rPr>
          <w:rFonts w:hint="eastAsia" w:ascii="仿宋_GB2312" w:hAnsi="宋体" w:eastAsia="仿宋_GB2312"/>
          <w:sz w:val="24"/>
        </w:rPr>
        <w:t>的先进</w:t>
      </w:r>
      <w:r>
        <w:rPr>
          <w:rFonts w:hint="eastAsia" w:ascii="仿宋_GB2312" w:hAnsi="宋体" w:eastAsia="仿宋_GB2312"/>
          <w:sz w:val="24"/>
          <w:lang w:val="en-US" w:eastAsia="zh-CN"/>
        </w:rPr>
        <w:t>要求</w:t>
      </w:r>
      <w:r>
        <w:rPr>
          <w:rFonts w:hint="eastAsia" w:ascii="仿宋_GB2312" w:hAnsi="宋体" w:eastAsia="仿宋_GB2312"/>
          <w:sz w:val="24"/>
        </w:rPr>
        <w:t>，分析各项目指标的合理性和可行性，按照“浙江制造”标准研制要求，增加了基本要求(设计研发、原材料</w:t>
      </w:r>
      <w:r>
        <w:rPr>
          <w:rFonts w:hint="eastAsia" w:ascii="仿宋_GB2312" w:hAnsi="宋体" w:eastAsia="仿宋_GB2312"/>
          <w:sz w:val="24"/>
          <w:lang w:val="en-US" w:eastAsia="zh-CN"/>
        </w:rPr>
        <w:t>及部件</w:t>
      </w:r>
      <w:r>
        <w:rPr>
          <w:rFonts w:hint="eastAsia" w:ascii="仿宋_GB2312" w:hAnsi="宋体" w:eastAsia="仿宋_GB2312"/>
          <w:sz w:val="24"/>
        </w:rPr>
        <w:t>、工艺</w:t>
      </w:r>
      <w:r>
        <w:rPr>
          <w:rFonts w:hint="eastAsia" w:ascii="仿宋_GB2312" w:hAnsi="宋体" w:eastAsia="仿宋_GB2312"/>
          <w:sz w:val="24"/>
          <w:lang w:val="en-US" w:eastAsia="zh-CN"/>
        </w:rPr>
        <w:t>及装</w:t>
      </w:r>
      <w:r>
        <w:rPr>
          <w:rFonts w:hint="eastAsia" w:ascii="仿宋_GB2312" w:hAnsi="宋体" w:eastAsia="仿宋_GB2312"/>
          <w:sz w:val="24"/>
        </w:rPr>
        <w:t>备、检验检测)、质量承诺等方面的内容。</w:t>
      </w:r>
      <w:r>
        <w:rPr>
          <w:rFonts w:hint="eastAsia" w:ascii="仿宋_GB2312" w:hAnsi="宋体" w:eastAsia="仿宋_GB2312" w:cs="Times New Roman"/>
          <w:sz w:val="24"/>
        </w:rPr>
        <w:t>经过标准起草小组共同努力，于202</w:t>
      </w:r>
      <w:r>
        <w:rPr>
          <w:rFonts w:hint="eastAsia" w:ascii="仿宋_GB2312" w:hAnsi="宋体" w:eastAsia="仿宋_GB2312" w:cs="Times New Roman"/>
          <w:sz w:val="24"/>
          <w:lang w:val="en-US" w:eastAsia="zh-CN"/>
        </w:rPr>
        <w:t>1</w:t>
      </w:r>
      <w:r>
        <w:rPr>
          <w:rFonts w:hint="eastAsia" w:ascii="仿宋_GB2312" w:hAnsi="宋体" w:eastAsia="仿宋_GB2312" w:cs="Times New Roman"/>
          <w:sz w:val="24"/>
        </w:rPr>
        <w:t>年</w:t>
      </w:r>
      <w:r>
        <w:rPr>
          <w:rFonts w:hint="eastAsia" w:ascii="仿宋_GB2312" w:hAnsi="宋体" w:eastAsia="仿宋_GB2312" w:cs="Times New Roman"/>
          <w:sz w:val="24"/>
          <w:lang w:val="en-US" w:eastAsia="zh-CN"/>
        </w:rPr>
        <w:t>6</w:t>
      </w:r>
      <w:r>
        <w:rPr>
          <w:rFonts w:hint="eastAsia" w:ascii="仿宋_GB2312" w:hAnsi="宋体" w:eastAsia="仿宋_GB2312" w:cs="Times New Roman"/>
          <w:sz w:val="24"/>
        </w:rPr>
        <w:t>月形成了标准草案。于</w:t>
      </w:r>
      <w:r>
        <w:rPr>
          <w:rFonts w:hint="eastAsia" w:ascii="仿宋_GB2312" w:hAnsi="宋体" w:eastAsia="仿宋_GB2312" w:cs="Times New Roman"/>
          <w:color w:val="FF0000"/>
          <w:sz w:val="24"/>
        </w:rPr>
        <w:t>202</w:t>
      </w:r>
      <w:r>
        <w:rPr>
          <w:rFonts w:hint="eastAsia" w:ascii="仿宋_GB2312" w:hAnsi="宋体" w:eastAsia="仿宋_GB2312" w:cs="Times New Roman"/>
          <w:color w:val="FF0000"/>
          <w:sz w:val="24"/>
          <w:lang w:val="en-US" w:eastAsia="zh-CN"/>
        </w:rPr>
        <w:t>1</w:t>
      </w:r>
      <w:r>
        <w:rPr>
          <w:rFonts w:hint="eastAsia" w:ascii="仿宋_GB2312" w:hAnsi="宋体" w:eastAsia="仿宋_GB2312" w:cs="Times New Roman"/>
          <w:color w:val="FF0000"/>
          <w:sz w:val="24"/>
        </w:rPr>
        <w:t>年</w:t>
      </w:r>
      <w:r>
        <w:rPr>
          <w:rFonts w:hint="eastAsia" w:ascii="仿宋_GB2312" w:hAnsi="宋体" w:eastAsia="仿宋_GB2312" w:cs="Times New Roman"/>
          <w:color w:val="FF0000"/>
          <w:sz w:val="24"/>
          <w:lang w:val="en-US" w:eastAsia="zh-CN"/>
        </w:rPr>
        <w:t>10</w:t>
      </w:r>
      <w:r>
        <w:rPr>
          <w:rFonts w:hint="eastAsia" w:ascii="仿宋_GB2312" w:hAnsi="宋体" w:eastAsia="仿宋_GB2312" w:cs="Times New Roman"/>
          <w:color w:val="FF0000"/>
          <w:sz w:val="24"/>
        </w:rPr>
        <w:t>月</w:t>
      </w:r>
      <w:r>
        <w:rPr>
          <w:rFonts w:hint="eastAsia" w:ascii="仿宋_GB2312" w:hAnsi="宋体" w:eastAsia="仿宋_GB2312" w:cs="Times New Roman"/>
          <w:color w:val="FF0000"/>
          <w:sz w:val="24"/>
          <w:lang w:val="en-US" w:eastAsia="zh-CN"/>
        </w:rPr>
        <w:t>15</w:t>
      </w:r>
      <w:r>
        <w:rPr>
          <w:rFonts w:hint="eastAsia" w:ascii="仿宋_GB2312" w:hAnsi="宋体" w:eastAsia="仿宋_GB2312" w:cs="Times New Roman"/>
          <w:sz w:val="24"/>
        </w:rPr>
        <w:t>日在牵头单位</w:t>
      </w:r>
      <w:r>
        <w:rPr>
          <w:rFonts w:hint="eastAsia" w:ascii="仿宋_GB2312" w:hAnsi="宋体" w:eastAsia="仿宋_GB2312" w:cs="Times New Roman"/>
          <w:color w:val="auto"/>
          <w:kern w:val="2"/>
          <w:sz w:val="24"/>
          <w:szCs w:val="24"/>
          <w:lang w:val="en-US" w:eastAsia="zh-CN" w:bidi="ar-SA"/>
        </w:rPr>
        <w:t>浙江省质量合格评定协会</w:t>
      </w:r>
      <w:r>
        <w:rPr>
          <w:rFonts w:hint="eastAsia" w:ascii="仿宋_GB2312" w:hAnsi="宋体" w:eastAsia="仿宋_GB2312" w:cs="Times New Roman"/>
          <w:sz w:val="24"/>
        </w:rPr>
        <w:t>的组织下召开了标准研讨会。会上专家对</w:t>
      </w:r>
      <w:r>
        <w:rPr>
          <w:rFonts w:hint="eastAsia" w:ascii="仿宋_GB2312" w:hAnsi="宋体" w:eastAsia="仿宋_GB2312"/>
          <w:sz w:val="24"/>
        </w:rPr>
        <w:t>于标准提出了许多建设性的意见，主要包括</w:t>
      </w:r>
      <w:r>
        <w:rPr>
          <w:rFonts w:hint="eastAsia" w:ascii="仿宋_GB2312" w:hAnsi="宋体" w:eastAsia="仿宋_GB2312"/>
          <w:sz w:val="24"/>
          <w:lang w:eastAsia="zh-CN"/>
        </w:rPr>
        <w:t>：</w:t>
      </w:r>
    </w:p>
    <w:p>
      <w:pPr>
        <w:tabs>
          <w:tab w:val="left" w:pos="2160"/>
        </w:tabs>
        <w:spacing w:line="360" w:lineRule="auto"/>
        <w:ind w:firstLine="480" w:firstLineChars="200"/>
        <w:rPr>
          <w:rFonts w:hint="eastAsia" w:ascii="仿宋_GB2312" w:hAnsi="宋体" w:eastAsia="仿宋_GB2312"/>
          <w:sz w:val="24"/>
        </w:rPr>
      </w:pPr>
    </w:p>
    <w:p>
      <w:pPr>
        <w:tabs>
          <w:tab w:val="left" w:pos="2160"/>
        </w:tabs>
        <w:spacing w:line="360" w:lineRule="auto"/>
        <w:ind w:firstLine="480" w:firstLineChars="200"/>
        <w:rPr>
          <w:rFonts w:hint="eastAsia" w:ascii="仿宋_GB2312" w:hAnsi="宋体" w:eastAsia="仿宋_GB2312"/>
          <w:sz w:val="24"/>
        </w:rPr>
      </w:pPr>
    </w:p>
    <w:p>
      <w:pPr>
        <w:tabs>
          <w:tab w:val="left" w:pos="2160"/>
        </w:tabs>
        <w:spacing w:line="360" w:lineRule="auto"/>
        <w:ind w:firstLine="480" w:firstLineChars="200"/>
        <w:rPr>
          <w:rFonts w:hint="eastAsia" w:ascii="仿宋_GB2312" w:hAnsi="宋体" w:eastAsia="仿宋_GB2312"/>
          <w:sz w:val="24"/>
        </w:rPr>
      </w:pPr>
    </w:p>
    <w:p>
      <w:pPr>
        <w:tabs>
          <w:tab w:val="left" w:pos="2160"/>
        </w:tabs>
        <w:spacing w:line="360" w:lineRule="auto"/>
        <w:ind w:firstLine="480" w:firstLineChars="200"/>
        <w:rPr>
          <w:rFonts w:hint="eastAsia" w:ascii="仿宋_GB2312" w:hAnsi="宋体" w:eastAsia="仿宋_GB2312"/>
          <w:sz w:val="24"/>
        </w:rPr>
      </w:pPr>
    </w:p>
    <w:p>
      <w:pPr>
        <w:tabs>
          <w:tab w:val="left" w:pos="2160"/>
        </w:tabs>
        <w:spacing w:line="360" w:lineRule="auto"/>
        <w:ind w:firstLine="480" w:firstLineChars="200"/>
        <w:rPr>
          <w:rFonts w:ascii="仿宋_GB2312" w:hAnsi="宋体" w:eastAsia="仿宋_GB2312"/>
          <w:color w:val="FF0000"/>
          <w:sz w:val="24"/>
        </w:rPr>
      </w:pPr>
      <w:r>
        <w:rPr>
          <w:rFonts w:hint="eastAsia" w:ascii="仿宋_GB2312" w:hAnsi="宋体" w:eastAsia="仿宋_GB2312"/>
          <w:color w:val="FF0000"/>
          <w:sz w:val="24"/>
        </w:rPr>
        <w:t>会后标准工作组组织多次专题会议，讨论修改完善标准草案，于202</w:t>
      </w:r>
      <w:r>
        <w:rPr>
          <w:rFonts w:hint="eastAsia" w:ascii="仿宋_GB2312" w:hAnsi="宋体" w:eastAsia="仿宋_GB2312"/>
          <w:color w:val="FF0000"/>
          <w:sz w:val="24"/>
          <w:lang w:val="en-US" w:eastAsia="zh-CN"/>
        </w:rPr>
        <w:t>1</w:t>
      </w:r>
      <w:r>
        <w:rPr>
          <w:rFonts w:hint="eastAsia" w:ascii="仿宋_GB2312" w:hAnsi="宋体" w:eastAsia="仿宋_GB2312"/>
          <w:color w:val="FF0000"/>
          <w:sz w:val="24"/>
        </w:rPr>
        <w:t>年</w:t>
      </w:r>
      <w:r>
        <w:rPr>
          <w:rFonts w:hint="eastAsia" w:ascii="仿宋_GB2312" w:hAnsi="宋体" w:eastAsia="仿宋_GB2312"/>
          <w:color w:val="FF0000"/>
          <w:sz w:val="24"/>
          <w:lang w:val="en-US" w:eastAsia="zh-CN"/>
        </w:rPr>
        <w:t>7</w:t>
      </w:r>
      <w:r>
        <w:rPr>
          <w:rFonts w:hint="eastAsia" w:ascii="仿宋_GB2312" w:hAnsi="宋体" w:eastAsia="仿宋_GB2312"/>
          <w:color w:val="FF0000"/>
          <w:sz w:val="24"/>
        </w:rPr>
        <w:t>月</w:t>
      </w:r>
      <w:r>
        <w:rPr>
          <w:rFonts w:hint="eastAsia" w:ascii="仿宋_GB2312" w:hAnsi="宋体" w:eastAsia="仿宋_GB2312"/>
          <w:color w:val="FF0000"/>
          <w:sz w:val="24"/>
          <w:lang w:val="en-US" w:eastAsia="zh-CN"/>
        </w:rPr>
        <w:t>30</w:t>
      </w:r>
      <w:r>
        <w:rPr>
          <w:rFonts w:hint="eastAsia" w:ascii="仿宋_GB2312" w:hAnsi="宋体" w:eastAsia="仿宋_GB2312"/>
          <w:color w:val="FF0000"/>
          <w:sz w:val="24"/>
        </w:rPr>
        <w:t>日形成标准的意见征求稿。</w:t>
      </w:r>
    </w:p>
    <w:p>
      <w:pPr>
        <w:pStyle w:val="10"/>
        <w:numPr>
          <w:ilvl w:val="0"/>
          <w:numId w:val="0"/>
        </w:numPr>
        <w:spacing w:before="312" w:after="312"/>
        <w:jc w:val="left"/>
        <w:rPr>
          <w:rFonts w:hAnsi="黑体"/>
          <w:sz w:val="24"/>
          <w:szCs w:val="24"/>
        </w:rPr>
      </w:pPr>
      <w:r>
        <w:rPr>
          <w:rFonts w:hint="eastAsia" w:hAnsi="黑体"/>
          <w:sz w:val="24"/>
          <w:szCs w:val="24"/>
        </w:rPr>
        <w:t>3.2.3征求意见</w:t>
      </w:r>
    </w:p>
    <w:p>
      <w:pPr>
        <w:tabs>
          <w:tab w:val="left" w:pos="2160"/>
        </w:tabs>
        <w:spacing w:line="360" w:lineRule="auto"/>
        <w:ind w:firstLine="480" w:firstLineChars="200"/>
        <w:rPr>
          <w:rFonts w:ascii="仿宋_GB2312" w:hAnsi="宋体" w:eastAsia="仿宋_GB2312"/>
          <w:color w:val="FF0000"/>
          <w:sz w:val="24"/>
        </w:rPr>
      </w:pPr>
      <w:r>
        <w:rPr>
          <w:rFonts w:hint="eastAsia" w:ascii="仿宋_GB2312" w:hAnsi="宋体" w:eastAsia="仿宋_GB2312"/>
          <w:color w:val="FF0000"/>
          <w:sz w:val="24"/>
        </w:rPr>
        <w:t>202</w:t>
      </w:r>
      <w:r>
        <w:rPr>
          <w:rFonts w:hint="eastAsia" w:ascii="仿宋_GB2312" w:hAnsi="宋体" w:eastAsia="仿宋_GB2312"/>
          <w:color w:val="FF0000"/>
          <w:sz w:val="24"/>
          <w:lang w:val="en-US" w:eastAsia="zh-CN"/>
        </w:rPr>
        <w:t>1</w:t>
      </w:r>
      <w:r>
        <w:rPr>
          <w:rFonts w:hint="eastAsia" w:ascii="仿宋_GB2312" w:hAnsi="宋体" w:eastAsia="仿宋_GB2312"/>
          <w:color w:val="FF0000"/>
          <w:sz w:val="24"/>
        </w:rPr>
        <w:t>年</w:t>
      </w:r>
      <w:r>
        <w:rPr>
          <w:rFonts w:hint="eastAsia" w:ascii="仿宋_GB2312" w:hAnsi="宋体" w:eastAsia="仿宋_GB2312"/>
          <w:color w:val="FF0000"/>
          <w:sz w:val="24"/>
          <w:lang w:val="en-US" w:eastAsia="zh-CN"/>
        </w:rPr>
        <w:t>7</w:t>
      </w:r>
      <w:r>
        <w:rPr>
          <w:rFonts w:hint="eastAsia" w:ascii="仿宋_GB2312" w:hAnsi="宋体" w:eastAsia="仿宋_GB2312"/>
          <w:color w:val="FF0000"/>
          <w:sz w:val="24"/>
        </w:rPr>
        <w:t>月</w:t>
      </w:r>
      <w:r>
        <w:rPr>
          <w:rFonts w:hint="eastAsia" w:ascii="仿宋_GB2312" w:hAnsi="宋体" w:eastAsia="仿宋_GB2312"/>
          <w:color w:val="FF0000"/>
          <w:sz w:val="24"/>
          <w:lang w:val="en-US" w:eastAsia="zh-CN"/>
        </w:rPr>
        <w:t>30</w:t>
      </w:r>
      <w:r>
        <w:rPr>
          <w:rFonts w:hint="eastAsia" w:ascii="仿宋_GB2312" w:hAnsi="宋体" w:eastAsia="仿宋_GB2312"/>
          <w:color w:val="FF0000"/>
          <w:sz w:val="24"/>
        </w:rPr>
        <w:t>日开始进行标准意见征求，共向</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等</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家单位进行意见征求；共收到</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家单位及专家的意见反馈。共收到</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条意见，公司组织专题技术研讨分析收到的意见，最终确定共采纳意见</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条，不采纳意见</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条。不采纳及部分采纳部分均给出了理由分析，主要是与行业标准的合规性与部分专家对产品熟悉程度方面的问题。通过标准意见征求，进一步完善了标准的结构和内容的合理性。</w:t>
      </w:r>
    </w:p>
    <w:p>
      <w:pPr>
        <w:tabs>
          <w:tab w:val="left" w:pos="2160"/>
        </w:tabs>
        <w:spacing w:line="360" w:lineRule="auto"/>
        <w:ind w:firstLine="480" w:firstLineChars="200"/>
        <w:rPr>
          <w:rFonts w:ascii="仿宋_GB2312" w:hAnsi="宋体" w:eastAsia="仿宋_GB2312"/>
          <w:color w:val="FF0000"/>
          <w:sz w:val="24"/>
        </w:rPr>
      </w:pPr>
      <w:r>
        <w:rPr>
          <w:rFonts w:hint="eastAsia" w:ascii="仿宋_GB2312" w:hAnsi="宋体" w:eastAsia="仿宋_GB2312"/>
          <w:color w:val="FF0000"/>
          <w:sz w:val="24"/>
        </w:rPr>
        <w:t>于202</w:t>
      </w:r>
      <w:r>
        <w:rPr>
          <w:rFonts w:hint="eastAsia" w:ascii="仿宋_GB2312" w:hAnsi="宋体" w:eastAsia="仿宋_GB2312"/>
          <w:color w:val="FF0000"/>
          <w:sz w:val="24"/>
          <w:lang w:val="en-US" w:eastAsia="zh-CN"/>
        </w:rPr>
        <w:t>1</w:t>
      </w:r>
      <w:r>
        <w:rPr>
          <w:rFonts w:hint="eastAsia" w:ascii="仿宋_GB2312" w:hAnsi="宋体" w:eastAsia="仿宋_GB2312"/>
          <w:color w:val="FF0000"/>
          <w:sz w:val="24"/>
        </w:rPr>
        <w:t>年</w:t>
      </w:r>
      <w:r>
        <w:rPr>
          <w:rFonts w:hint="eastAsia" w:ascii="仿宋_GB2312" w:hAnsi="宋体" w:eastAsia="仿宋_GB2312"/>
          <w:color w:val="FF0000"/>
          <w:sz w:val="24"/>
          <w:lang w:val="en-US" w:eastAsia="zh-CN"/>
        </w:rPr>
        <w:t>8</w:t>
      </w:r>
      <w:r>
        <w:rPr>
          <w:rFonts w:hint="eastAsia" w:ascii="仿宋_GB2312" w:hAnsi="宋体" w:eastAsia="仿宋_GB2312"/>
          <w:color w:val="FF0000"/>
          <w:sz w:val="24"/>
        </w:rPr>
        <w:t>月</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日形成标准和编制说明的送审稿。并于</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月</w:t>
      </w:r>
      <w:r>
        <w:rPr>
          <w:rFonts w:hint="eastAsia" w:ascii="仿宋_GB2312" w:hAnsi="宋体" w:eastAsia="仿宋_GB2312"/>
          <w:color w:val="FF0000"/>
          <w:sz w:val="24"/>
          <w:lang w:val="en-US" w:eastAsia="zh-CN"/>
        </w:rPr>
        <w:t xml:space="preserve">   </w:t>
      </w:r>
      <w:r>
        <w:rPr>
          <w:rFonts w:hint="eastAsia" w:ascii="仿宋_GB2312" w:hAnsi="宋体" w:eastAsia="仿宋_GB2312"/>
          <w:color w:val="FF0000"/>
          <w:sz w:val="24"/>
        </w:rPr>
        <w:t>日向品联会提出标准的评审申请。</w:t>
      </w:r>
    </w:p>
    <w:p>
      <w:pPr>
        <w:pStyle w:val="10"/>
        <w:numPr>
          <w:ilvl w:val="0"/>
          <w:numId w:val="0"/>
        </w:numPr>
        <w:spacing w:before="312" w:after="312"/>
        <w:jc w:val="left"/>
        <w:rPr>
          <w:rFonts w:hAnsi="黑体"/>
          <w:color w:val="FF0000"/>
          <w:sz w:val="24"/>
          <w:szCs w:val="24"/>
        </w:rPr>
      </w:pPr>
      <w:r>
        <w:rPr>
          <w:rFonts w:hint="eastAsia" w:hAnsi="黑体"/>
          <w:color w:val="FF0000"/>
          <w:sz w:val="24"/>
          <w:szCs w:val="24"/>
        </w:rPr>
        <w:t>3.2.4专家评审</w:t>
      </w:r>
    </w:p>
    <w:p>
      <w:pPr>
        <w:pStyle w:val="32"/>
        <w:spacing w:line="360" w:lineRule="auto"/>
        <w:ind w:firstLine="560"/>
        <w:rPr>
          <w:rFonts w:hint="default" w:ascii="仿宋_GB2312" w:hAnsi="宋体" w:eastAsia="仿宋_GB2312"/>
          <w:color w:val="FF0000"/>
          <w:sz w:val="24"/>
          <w:lang w:val="en-US" w:eastAsia="zh-CN"/>
        </w:rPr>
      </w:pPr>
      <w:r>
        <w:rPr>
          <w:rFonts w:hint="eastAsia" w:ascii="仿宋_GB2312" w:hAnsi="宋体" w:eastAsia="仿宋_GB2312"/>
          <w:color w:val="FF0000"/>
          <w:sz w:val="24"/>
          <w:lang w:val="en-US" w:eastAsia="zh-CN"/>
        </w:rPr>
        <w:t xml:space="preserve">  </w:t>
      </w:r>
    </w:p>
    <w:p>
      <w:pPr>
        <w:pStyle w:val="10"/>
        <w:numPr>
          <w:ilvl w:val="0"/>
          <w:numId w:val="0"/>
        </w:numPr>
        <w:spacing w:before="312" w:after="312"/>
        <w:jc w:val="left"/>
        <w:rPr>
          <w:rFonts w:hint="eastAsia" w:hAnsi="黑体"/>
          <w:color w:val="FF0000"/>
          <w:sz w:val="24"/>
          <w:szCs w:val="24"/>
        </w:rPr>
      </w:pPr>
      <w:r>
        <w:rPr>
          <w:rFonts w:hint="eastAsia" w:hAnsi="黑体"/>
          <w:color w:val="FF0000"/>
          <w:sz w:val="24"/>
          <w:szCs w:val="24"/>
        </w:rPr>
        <w:t>3.2.5标准报批</w:t>
      </w:r>
    </w:p>
    <w:p>
      <w:pPr>
        <w:rPr>
          <w:rFonts w:hint="default" w:hAnsi="黑体" w:eastAsia="宋体"/>
          <w:sz w:val="24"/>
          <w:szCs w:val="24"/>
          <w:lang w:val="en-US" w:eastAsia="zh-CN"/>
        </w:rPr>
      </w:pPr>
      <w:r>
        <w:rPr>
          <w:rFonts w:hint="eastAsia" w:hAnsi="黑体"/>
          <w:sz w:val="24"/>
          <w:szCs w:val="24"/>
          <w:lang w:val="en-US" w:eastAsia="zh-CN"/>
        </w:rPr>
        <w:t xml:space="preserve">   </w:t>
      </w:r>
      <w:r>
        <w:rPr>
          <w:rFonts w:hint="eastAsia" w:ascii="仿宋_GB2312" w:hAnsi="宋体" w:eastAsia="仿宋_GB2312" w:cs="Times New Roman"/>
          <w:kern w:val="2"/>
          <w:sz w:val="24"/>
          <w:szCs w:val="24"/>
          <w:lang w:val="en-US" w:eastAsia="zh-CN" w:bidi="ar-SA"/>
        </w:rPr>
        <w:t xml:space="preserve"> </w:t>
      </w:r>
    </w:p>
    <w:p>
      <w:pPr>
        <w:pStyle w:val="10"/>
        <w:numPr>
          <w:ilvl w:val="0"/>
          <w:numId w:val="0"/>
        </w:numPr>
        <w:spacing w:before="312" w:after="312"/>
        <w:jc w:val="left"/>
        <w:rPr>
          <w:rFonts w:hAnsi="黑体"/>
          <w:sz w:val="24"/>
          <w:szCs w:val="24"/>
        </w:rPr>
      </w:pPr>
      <w:r>
        <w:rPr>
          <w:rFonts w:hint="eastAsia" w:hAnsi="黑体"/>
          <w:sz w:val="24"/>
          <w:szCs w:val="24"/>
        </w:rPr>
        <w:t>4  标准编制原则、主要内容及确定依据</w:t>
      </w:r>
    </w:p>
    <w:p>
      <w:pPr>
        <w:pStyle w:val="10"/>
        <w:numPr>
          <w:ilvl w:val="0"/>
          <w:numId w:val="0"/>
        </w:numPr>
        <w:spacing w:before="312" w:after="312"/>
        <w:jc w:val="left"/>
        <w:rPr>
          <w:rFonts w:hAnsi="黑体"/>
          <w:sz w:val="24"/>
          <w:szCs w:val="24"/>
        </w:rPr>
      </w:pPr>
      <w:r>
        <w:rPr>
          <w:rFonts w:hint="eastAsia" w:hAnsi="黑体"/>
          <w:sz w:val="24"/>
          <w:szCs w:val="24"/>
        </w:rPr>
        <w:t>4.1  编制原则</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标准编制遵循“合规性、必要性、先进性、经济性、可操作性”的原则，严格按照GB/T 1.1-2020《标准化工作导则第1部分：标准的结构和编写》的规定进行编写和表述，主要</w:t>
      </w:r>
      <w:r>
        <w:rPr>
          <w:rFonts w:hint="eastAsia" w:ascii="仿宋_GB2312" w:hAnsi="宋体" w:eastAsia="仿宋_GB2312"/>
          <w:sz w:val="24"/>
          <w:lang w:val="en-US" w:eastAsia="zh-CN"/>
        </w:rPr>
        <w:t>依据</w:t>
      </w:r>
      <w:r>
        <w:rPr>
          <w:rFonts w:hint="eastAsia" w:ascii="仿宋_GB2312" w:hAnsi="宋体" w:eastAsia="仿宋_GB2312"/>
          <w:sz w:val="24"/>
        </w:rPr>
        <w:t xml:space="preserve">JB/T1647.2-2012 </w:t>
      </w:r>
      <w:r>
        <w:rPr>
          <w:rFonts w:hint="eastAsia" w:ascii="仿宋_GB2312" w:hAnsi="宋体" w:eastAsia="仿宋_GB2312"/>
          <w:sz w:val="24"/>
          <w:lang w:eastAsia="zh-CN"/>
        </w:rPr>
        <w:t>《</w:t>
      </w:r>
      <w:r>
        <w:rPr>
          <w:rFonts w:hint="eastAsia" w:ascii="仿宋_GB2312" w:hAnsi="宋体" w:eastAsia="仿宋_GB2312"/>
          <w:sz w:val="24"/>
        </w:rPr>
        <w:t>闭式压力机 第2部分</w:t>
      </w:r>
      <w:r>
        <w:rPr>
          <w:rFonts w:hint="eastAsia" w:ascii="仿宋_GB2312" w:hAnsi="宋体" w:eastAsia="仿宋_GB2312"/>
          <w:sz w:val="24"/>
          <w:lang w:val="en-US" w:eastAsia="zh-CN"/>
        </w:rPr>
        <w:t xml:space="preserve"> </w:t>
      </w:r>
      <w:r>
        <w:rPr>
          <w:rFonts w:hint="eastAsia" w:ascii="仿宋_GB2312" w:hAnsi="宋体" w:eastAsia="仿宋_GB2312"/>
          <w:sz w:val="24"/>
        </w:rPr>
        <w:t>技术条件</w:t>
      </w:r>
      <w:r>
        <w:rPr>
          <w:rFonts w:hint="eastAsia" w:ascii="仿宋_GB2312" w:hAnsi="宋体" w:eastAsia="仿宋_GB2312"/>
          <w:sz w:val="24"/>
          <w:lang w:eastAsia="zh-CN"/>
        </w:rPr>
        <w:t>》</w:t>
      </w:r>
      <w:r>
        <w:rPr>
          <w:rFonts w:hint="eastAsia" w:ascii="仿宋_GB2312" w:hAnsi="宋体" w:eastAsia="仿宋_GB2312"/>
          <w:sz w:val="24"/>
        </w:rPr>
        <w:t>，同时结合考虑高端客</w:t>
      </w:r>
      <w:r>
        <w:rPr>
          <w:rFonts w:hint="eastAsia" w:ascii="仿宋_GB2312" w:hAnsi="宋体" w:eastAsia="仿宋_GB2312" w:cs="Times New Roman"/>
          <w:sz w:val="24"/>
        </w:rPr>
        <w:t>户要求，注重标准的可操作性。</w:t>
      </w:r>
    </w:p>
    <w:p>
      <w:pPr>
        <w:tabs>
          <w:tab w:val="left" w:pos="2160"/>
        </w:tabs>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1）合规性</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本标准的编制遵循合规性原则，标准起草小组根据GB/T 1.1—2020《标准化工作导则第1部分：标准的结构和编写》编制标准草案。标准起草小组对产品市场做了充分的调研和分析，</w:t>
      </w:r>
      <w:r>
        <w:rPr>
          <w:rFonts w:hint="eastAsia" w:ascii="仿宋_GB2312" w:hAnsi="宋体" w:eastAsia="仿宋_GB2312"/>
          <w:sz w:val="24"/>
          <w:lang w:val="en-US" w:eastAsia="zh-CN"/>
        </w:rPr>
        <w:t>依据</w:t>
      </w:r>
      <w:r>
        <w:rPr>
          <w:rFonts w:hint="eastAsia" w:ascii="仿宋_GB2312" w:hAnsi="宋体" w:eastAsia="仿宋_GB2312"/>
          <w:sz w:val="24"/>
        </w:rPr>
        <w:t xml:space="preserve">JB/T1647.2-2012 </w:t>
      </w:r>
      <w:r>
        <w:rPr>
          <w:rFonts w:hint="eastAsia" w:ascii="仿宋_GB2312" w:hAnsi="宋体" w:eastAsia="仿宋_GB2312"/>
          <w:sz w:val="24"/>
          <w:lang w:eastAsia="zh-CN"/>
        </w:rPr>
        <w:t>《</w:t>
      </w:r>
      <w:r>
        <w:rPr>
          <w:rFonts w:hint="eastAsia" w:ascii="仿宋_GB2312" w:hAnsi="宋体" w:eastAsia="仿宋_GB2312"/>
          <w:sz w:val="24"/>
        </w:rPr>
        <w:t>闭式压力机 第2部分</w:t>
      </w:r>
      <w:r>
        <w:rPr>
          <w:rFonts w:hint="eastAsia" w:ascii="仿宋_GB2312" w:hAnsi="宋体" w:eastAsia="仿宋_GB2312"/>
          <w:sz w:val="24"/>
          <w:lang w:val="en-US" w:eastAsia="zh-CN"/>
        </w:rPr>
        <w:t xml:space="preserve"> </w:t>
      </w:r>
      <w:r>
        <w:rPr>
          <w:rFonts w:hint="eastAsia" w:ascii="仿宋_GB2312" w:hAnsi="宋体" w:eastAsia="仿宋_GB2312"/>
          <w:sz w:val="24"/>
        </w:rPr>
        <w:t>技术条件</w:t>
      </w:r>
      <w:r>
        <w:rPr>
          <w:rFonts w:hint="eastAsia" w:ascii="仿宋_GB2312" w:hAnsi="宋体" w:eastAsia="仿宋_GB2312"/>
          <w:sz w:val="24"/>
          <w:lang w:eastAsia="zh-CN"/>
        </w:rPr>
        <w:t>》</w:t>
      </w:r>
      <w:r>
        <w:rPr>
          <w:rFonts w:hint="eastAsia" w:ascii="仿宋_GB2312" w:hAnsi="宋体" w:eastAsia="仿宋_GB2312"/>
          <w:sz w:val="24"/>
        </w:rPr>
        <w:t>的技术要求，对先进性项目的验证试验进行分析和处理，标准完成前向上</w:t>
      </w:r>
      <w:r>
        <w:rPr>
          <w:rFonts w:hint="eastAsia" w:ascii="仿宋_GB2312" w:hAnsi="宋体" w:eastAsia="仿宋_GB2312"/>
          <w:sz w:val="24"/>
          <w:lang w:eastAsia="zh-CN"/>
        </w:rPr>
        <w:t>、</w:t>
      </w:r>
      <w:r>
        <w:rPr>
          <w:rFonts w:hint="eastAsia" w:ascii="仿宋_GB2312" w:hAnsi="宋体" w:eastAsia="仿宋_GB2312"/>
          <w:sz w:val="24"/>
          <w:lang w:val="en-US" w:eastAsia="zh-CN"/>
        </w:rPr>
        <w:t>下</w:t>
      </w:r>
      <w:r>
        <w:rPr>
          <w:rFonts w:hint="eastAsia" w:ascii="仿宋_GB2312" w:hAnsi="宋体" w:eastAsia="仿宋_GB2312"/>
          <w:sz w:val="24"/>
        </w:rPr>
        <w:t xml:space="preserve">游客户、检测机构、大专院校等各个方面征求了意见。 </w:t>
      </w:r>
    </w:p>
    <w:p>
      <w:pPr>
        <w:tabs>
          <w:tab w:val="left" w:pos="2160"/>
        </w:tabs>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2）必要性</w:t>
      </w:r>
    </w:p>
    <w:p>
      <w:pPr>
        <w:tabs>
          <w:tab w:val="left" w:pos="2160"/>
        </w:tabs>
        <w:spacing w:line="360" w:lineRule="auto"/>
        <w:ind w:firstLine="480" w:firstLineChars="200"/>
        <w:rPr>
          <w:rFonts w:hint="default" w:ascii="仿宋_GB2312" w:hAnsi="宋体" w:eastAsia="仿宋_GB2312"/>
          <w:sz w:val="24"/>
          <w:lang w:val="en-US" w:eastAsia="zh-CN"/>
        </w:rPr>
      </w:pPr>
      <w:r>
        <w:rPr>
          <w:rFonts w:hint="eastAsia" w:ascii="仿宋_GB2312" w:hAnsi="宋体" w:eastAsia="仿宋_GB2312"/>
          <w:sz w:val="24"/>
          <w:lang w:eastAsia="zh-CN"/>
        </w:rPr>
        <w:t>新能源柱形电池壳智能冲压设备，</w:t>
      </w:r>
      <w:r>
        <w:rPr>
          <w:rFonts w:hint="eastAsia" w:ascii="仿宋_GB2312" w:hAnsi="宋体" w:eastAsia="仿宋_GB2312"/>
          <w:sz w:val="24"/>
          <w:lang w:val="en-US" w:eastAsia="zh-CN"/>
        </w:rPr>
        <w:t>属专用设备</w:t>
      </w:r>
      <w:r>
        <w:rPr>
          <w:rFonts w:hint="eastAsia" w:ascii="仿宋_GB2312" w:hAnsi="宋体" w:eastAsia="仿宋_GB2312"/>
          <w:sz w:val="24"/>
          <w:lang w:eastAsia="zh-CN"/>
        </w:rPr>
        <w:t>，现在执行的标准是</w:t>
      </w:r>
      <w:r>
        <w:rPr>
          <w:rFonts w:hint="eastAsia" w:ascii="仿宋_GB2312" w:hAnsi="宋体" w:eastAsia="仿宋_GB2312"/>
          <w:sz w:val="24"/>
        </w:rPr>
        <w:t>JB/T1647.2-2012 闭式压力机 第2部分：技术条件；GB/T</w:t>
      </w:r>
      <w:r>
        <w:rPr>
          <w:rFonts w:hint="eastAsia" w:ascii="仿宋_GB2312" w:hAnsi="宋体" w:eastAsia="仿宋_GB2312"/>
          <w:sz w:val="24"/>
          <w:lang w:val="en-US" w:eastAsia="zh-CN"/>
        </w:rPr>
        <w:t>10924</w:t>
      </w:r>
      <w:r>
        <w:rPr>
          <w:rFonts w:hint="eastAsia" w:ascii="仿宋_GB2312" w:hAnsi="宋体" w:eastAsia="仿宋_GB2312"/>
          <w:sz w:val="24"/>
        </w:rPr>
        <w:t>-20</w:t>
      </w:r>
      <w:r>
        <w:rPr>
          <w:rFonts w:hint="eastAsia" w:ascii="仿宋_GB2312" w:hAnsi="宋体" w:eastAsia="仿宋_GB2312"/>
          <w:sz w:val="24"/>
          <w:lang w:val="en-US" w:eastAsia="zh-CN"/>
        </w:rPr>
        <w:t>09</w:t>
      </w:r>
      <w:r>
        <w:rPr>
          <w:rFonts w:hint="eastAsia" w:ascii="仿宋_GB2312" w:hAnsi="宋体" w:eastAsia="仿宋_GB2312"/>
          <w:sz w:val="24"/>
        </w:rPr>
        <w:t>闭式</w:t>
      </w:r>
      <w:r>
        <w:rPr>
          <w:rFonts w:hint="eastAsia" w:ascii="仿宋_GB2312" w:hAnsi="宋体" w:eastAsia="仿宋_GB2312"/>
          <w:sz w:val="24"/>
          <w:lang w:eastAsia="zh-CN"/>
        </w:rPr>
        <w:t>单双点</w:t>
      </w:r>
      <w:r>
        <w:rPr>
          <w:rFonts w:hint="eastAsia" w:ascii="仿宋_GB2312" w:hAnsi="宋体" w:eastAsia="仿宋_GB2312"/>
          <w:sz w:val="24"/>
        </w:rPr>
        <w:t>压力机 精度；</w:t>
      </w:r>
      <w:r>
        <w:rPr>
          <w:rFonts w:hint="eastAsia" w:ascii="仿宋_GB2312" w:hAnsi="宋体" w:eastAsia="仿宋_GB2312"/>
          <w:sz w:val="24"/>
          <w:lang w:val="en-US" w:eastAsia="zh-CN"/>
        </w:rPr>
        <w:t>J</w:t>
      </w:r>
      <w:r>
        <w:rPr>
          <w:rFonts w:hint="eastAsia" w:ascii="仿宋_GB2312" w:hAnsi="宋体" w:eastAsia="仿宋_GB2312"/>
          <w:sz w:val="24"/>
        </w:rPr>
        <w:t>B/T</w:t>
      </w:r>
      <w:r>
        <w:rPr>
          <w:rFonts w:hint="eastAsia" w:ascii="仿宋_GB2312" w:hAnsi="宋体" w:eastAsia="仿宋_GB2312"/>
          <w:sz w:val="24"/>
          <w:lang w:val="en-US" w:eastAsia="zh-CN"/>
        </w:rPr>
        <w:t>3848</w:t>
      </w:r>
      <w:r>
        <w:rPr>
          <w:rFonts w:hint="eastAsia" w:ascii="仿宋_GB2312" w:hAnsi="宋体" w:eastAsia="仿宋_GB2312"/>
          <w:sz w:val="24"/>
        </w:rPr>
        <w:t>-20</w:t>
      </w:r>
      <w:r>
        <w:rPr>
          <w:rFonts w:hint="eastAsia" w:ascii="仿宋_GB2312" w:hAnsi="宋体" w:eastAsia="仿宋_GB2312"/>
          <w:sz w:val="24"/>
          <w:lang w:val="en-US" w:eastAsia="zh-CN"/>
        </w:rPr>
        <w:t>20</w:t>
      </w:r>
      <w:r>
        <w:rPr>
          <w:rFonts w:hint="eastAsia" w:ascii="仿宋_GB2312" w:hAnsi="宋体" w:eastAsia="仿宋_GB2312"/>
          <w:sz w:val="24"/>
        </w:rPr>
        <w:t xml:space="preserve"> 闭式多</w:t>
      </w:r>
      <w:r>
        <w:rPr>
          <w:rFonts w:hint="eastAsia" w:ascii="仿宋_GB2312" w:hAnsi="宋体" w:eastAsia="仿宋_GB2312"/>
          <w:sz w:val="24"/>
          <w:lang w:eastAsia="zh-CN"/>
        </w:rPr>
        <w:t>工位</w:t>
      </w:r>
      <w:r>
        <w:rPr>
          <w:rFonts w:hint="eastAsia" w:ascii="仿宋_GB2312" w:hAnsi="宋体" w:eastAsia="仿宋_GB2312"/>
          <w:sz w:val="24"/>
        </w:rPr>
        <w:t>压力机</w:t>
      </w:r>
      <w:r>
        <w:rPr>
          <w:rFonts w:hint="eastAsia" w:ascii="仿宋_GB2312" w:hAnsi="宋体" w:eastAsia="仿宋_GB2312"/>
          <w:sz w:val="24"/>
          <w:lang w:eastAsia="zh-CN"/>
        </w:rPr>
        <w:t>精度</w:t>
      </w:r>
      <w:r>
        <w:rPr>
          <w:rFonts w:hint="eastAsia" w:ascii="仿宋_GB2312" w:hAnsi="宋体" w:eastAsia="仿宋_GB2312"/>
          <w:sz w:val="24"/>
        </w:rPr>
        <w:t>；</w:t>
      </w:r>
      <w:r>
        <w:rPr>
          <w:rFonts w:hint="eastAsia" w:ascii="仿宋_GB2312" w:hAnsi="宋体" w:eastAsia="仿宋_GB2312"/>
          <w:sz w:val="24"/>
          <w:lang w:eastAsia="zh-CN"/>
        </w:rPr>
        <w:t>GB27607-2011机械压力机安全技术要求</w:t>
      </w:r>
      <w:r>
        <w:rPr>
          <w:rFonts w:hint="eastAsia" w:ascii="仿宋_GB2312" w:hAnsi="宋体" w:eastAsia="仿宋_GB2312"/>
          <w:sz w:val="24"/>
          <w:lang w:val="en-US" w:eastAsia="zh-CN"/>
        </w:rPr>
        <w:t>;国内外还没有直接的标准，</w:t>
      </w:r>
      <w:r>
        <w:rPr>
          <w:rFonts w:hint="eastAsia" w:ascii="仿宋_GB2312" w:hAnsi="宋体" w:eastAsia="仿宋_GB2312"/>
          <w:sz w:val="24"/>
          <w:lang w:eastAsia="zh-CN"/>
        </w:rPr>
        <w:t>现国内标准GB27607-2011机械压力机 安全技术要求经过修订，已与欧洲标准基本接近，但仍需改进。目前国内用户及制造商都很疑惑</w:t>
      </w:r>
      <w:r>
        <w:rPr>
          <w:rFonts w:hint="eastAsia" w:ascii="仿宋_GB2312" w:hAnsi="宋体" w:eastAsia="仿宋_GB2312"/>
          <w:sz w:val="24"/>
          <w:lang w:val="en-US" w:eastAsia="zh-CN"/>
        </w:rPr>
        <w:t>,按普通标准制造的压力机无法满足用户使用要求,如下死点精度、综合间隙等。</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lang w:eastAsia="zh-CN"/>
        </w:rPr>
        <w:t>随着冲压模具制造技术的改进提高、自动化及流水线的不断使用，按现有产品标准生产的产品无法满足用户的使用需求，往往在签订合同时附件额外的精度要求；近年来环境要求、节能要求、安全要求越来越得到大家广泛的重视，因此在这方面标准的要求与用户的需求仍有很大的差距，现有产品需进行改进，针对以上方面，该产品在国内及国际先进标准的基础上，进行了一些改进。</w:t>
      </w:r>
    </w:p>
    <w:p>
      <w:pPr>
        <w:tabs>
          <w:tab w:val="left" w:pos="2160"/>
        </w:tabs>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3）先进性</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标准起草小组查询了国内外的资料，依据</w:t>
      </w:r>
      <w:r>
        <w:rPr>
          <w:rFonts w:hint="eastAsia" w:ascii="仿宋_GB2312" w:hAnsi="宋体" w:eastAsia="仿宋_GB2312"/>
          <w:sz w:val="24"/>
          <w:lang w:val="en-US" w:eastAsia="zh-CN"/>
        </w:rPr>
        <w:t>各类参考的标准</w:t>
      </w:r>
      <w:r>
        <w:rPr>
          <w:rFonts w:hint="eastAsia" w:ascii="仿宋_GB2312" w:hAnsi="宋体" w:eastAsia="仿宋_GB2312"/>
          <w:sz w:val="24"/>
        </w:rPr>
        <w:t>指标，同时结合我司多年生产的实践经验，先进性体现在：</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rPr>
        <w:t>采用变频调速，节能、噪音低、产品适应性强</w:t>
      </w:r>
      <w:r>
        <w:rPr>
          <w:rFonts w:hint="eastAsia" w:ascii="仿宋_GB2312" w:hAnsi="宋体" w:eastAsia="仿宋_GB2312"/>
          <w:sz w:val="24"/>
          <w:lang w:eastAsia="zh-CN"/>
        </w:rPr>
        <w:t>；</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lang w:val="en-US" w:eastAsia="zh-CN"/>
        </w:rPr>
        <w:t>采用智能技术，增加四遥功能和通讯方式，真正解放人手；数据智能反馈，及时调整速度，进行适速拉伸，保证产品质量，同时提高功效；</w:t>
      </w:r>
      <w:r>
        <w:rPr>
          <w:rFonts w:hint="eastAsia" w:ascii="仿宋_GB2312" w:hAnsi="宋体" w:eastAsia="仿宋_GB2312"/>
          <w:sz w:val="24"/>
        </w:rPr>
        <w:t>采用物联网技术</w:t>
      </w:r>
      <w:r>
        <w:rPr>
          <w:rFonts w:hint="eastAsia" w:ascii="仿宋_GB2312" w:hAnsi="宋体" w:eastAsia="仿宋_GB2312"/>
          <w:sz w:val="24"/>
          <w:lang w:eastAsia="zh-CN"/>
        </w:rPr>
        <w:t>，</w:t>
      </w:r>
      <w:r>
        <w:rPr>
          <w:rFonts w:hint="eastAsia" w:ascii="仿宋_GB2312" w:hAnsi="宋体" w:eastAsia="仿宋_GB2312"/>
          <w:sz w:val="24"/>
        </w:rPr>
        <w:t>远程诊断</w:t>
      </w:r>
      <w:r>
        <w:rPr>
          <w:rFonts w:hint="eastAsia" w:ascii="仿宋_GB2312" w:hAnsi="宋体" w:eastAsia="仿宋_GB2312"/>
          <w:sz w:val="24"/>
          <w:lang w:val="en-US" w:eastAsia="zh-CN"/>
        </w:rPr>
        <w:t>等</w:t>
      </w:r>
      <w:r>
        <w:rPr>
          <w:rFonts w:hint="eastAsia" w:ascii="仿宋_GB2312" w:hAnsi="宋体" w:eastAsia="仿宋_GB2312"/>
          <w:sz w:val="24"/>
          <w:lang w:eastAsia="zh-CN"/>
        </w:rPr>
        <w:t>；</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rPr>
        <w:t>精度性能等级较国内高出一个等级 （国内相当于JIS 2级），优于</w:t>
      </w:r>
      <w:r>
        <w:rPr>
          <w:rFonts w:hint="eastAsia" w:ascii="仿宋_GB2312" w:hAnsi="宋体" w:eastAsia="仿宋_GB2312"/>
          <w:sz w:val="24"/>
          <w:lang w:eastAsia="zh-CN"/>
        </w:rPr>
        <w:t>国际</w:t>
      </w:r>
      <w:r>
        <w:rPr>
          <w:rFonts w:hint="eastAsia" w:ascii="仿宋_GB2312" w:hAnsi="宋体" w:eastAsia="仿宋_GB2312"/>
          <w:sz w:val="24"/>
        </w:rPr>
        <w:t>JIS 1级，</w:t>
      </w:r>
      <w:r>
        <w:rPr>
          <w:rFonts w:hint="eastAsia" w:ascii="仿宋_GB2312" w:hAnsi="宋体" w:eastAsia="仿宋_GB2312"/>
          <w:sz w:val="24"/>
          <w:lang w:eastAsia="zh-CN"/>
        </w:rPr>
        <w:t>垂直度、平面度、平行度提升</w:t>
      </w:r>
      <w:r>
        <w:rPr>
          <w:rFonts w:hint="eastAsia" w:ascii="仿宋_GB2312" w:hAnsi="宋体" w:eastAsia="仿宋_GB2312"/>
          <w:sz w:val="24"/>
          <w:lang w:val="en-US" w:eastAsia="zh-CN"/>
        </w:rPr>
        <w:t>20%，综合间隙减少20%以上，</w:t>
      </w:r>
      <w:r>
        <w:rPr>
          <w:rFonts w:hint="eastAsia" w:ascii="仿宋_GB2312" w:hAnsi="宋体" w:eastAsia="仿宋_GB2312"/>
          <w:sz w:val="24"/>
        </w:rPr>
        <w:t>对模具寿命</w:t>
      </w:r>
      <w:r>
        <w:rPr>
          <w:rFonts w:hint="eastAsia" w:ascii="仿宋_GB2312" w:hAnsi="宋体" w:eastAsia="仿宋_GB2312"/>
          <w:sz w:val="24"/>
          <w:lang w:eastAsia="zh-CN"/>
        </w:rPr>
        <w:t>、</w:t>
      </w:r>
      <w:r>
        <w:rPr>
          <w:rFonts w:hint="eastAsia" w:ascii="仿宋_GB2312" w:hAnsi="宋体" w:eastAsia="仿宋_GB2312"/>
          <w:sz w:val="24"/>
        </w:rPr>
        <w:t>机床性能稳定性</w:t>
      </w:r>
      <w:r>
        <w:rPr>
          <w:rFonts w:hint="eastAsia" w:ascii="仿宋_GB2312" w:hAnsi="宋体" w:eastAsia="仿宋_GB2312"/>
          <w:sz w:val="24"/>
          <w:lang w:val="en-US" w:eastAsia="zh-CN"/>
        </w:rPr>
        <w:t>等</w:t>
      </w:r>
      <w:r>
        <w:rPr>
          <w:rFonts w:hint="eastAsia" w:ascii="仿宋_GB2312" w:hAnsi="宋体" w:eastAsia="仿宋_GB2312"/>
          <w:sz w:val="24"/>
        </w:rPr>
        <w:t>带来极大好处；</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lang w:eastAsia="zh-CN"/>
        </w:rPr>
        <w:t>增加了下死点精度要求，保证生产工件质量，满足</w:t>
      </w:r>
      <w:r>
        <w:rPr>
          <w:rFonts w:hint="eastAsia" w:ascii="仿宋_GB2312" w:hAnsi="宋体" w:eastAsia="仿宋_GB2312"/>
          <w:sz w:val="24"/>
          <w:lang w:val="en-US" w:eastAsia="zh-CN"/>
        </w:rPr>
        <w:t>高精度</w:t>
      </w:r>
      <w:r>
        <w:rPr>
          <w:rFonts w:hint="eastAsia" w:ascii="仿宋_GB2312" w:hAnsi="宋体" w:eastAsia="仿宋_GB2312"/>
          <w:sz w:val="24"/>
          <w:lang w:eastAsia="zh-CN"/>
        </w:rPr>
        <w:t>要求；</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lang w:val="en-US" w:eastAsia="zh-CN"/>
        </w:rPr>
        <w:t>润滑油、拉伸油、冷却水等全部可以循环利用，经济环保；</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lang w:val="en-US" w:eastAsia="zh-CN"/>
        </w:rPr>
        <w:t>配置有模架模具等，可以直接投入生产，智能选用、更换模具，效率高；</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rPr>
        <w:t>基本参数误差小，</w:t>
      </w:r>
      <w:r>
        <w:rPr>
          <w:rFonts w:hint="eastAsia" w:ascii="仿宋_GB2312" w:hAnsi="宋体" w:eastAsia="仿宋_GB2312"/>
          <w:sz w:val="24"/>
          <w:lang w:val="en-US" w:eastAsia="zh-CN"/>
        </w:rPr>
        <w:t>互换性好，提高产品能稳定，提升产品加工精度；</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rPr>
        <w:t>噪音低，一般优于标准</w:t>
      </w:r>
      <w:r>
        <w:rPr>
          <w:rFonts w:hint="eastAsia" w:ascii="仿宋_GB2312" w:hAnsi="宋体" w:eastAsia="仿宋_GB2312"/>
          <w:sz w:val="24"/>
          <w:lang w:val="en-US" w:eastAsia="zh-CN"/>
        </w:rPr>
        <w:t>7</w:t>
      </w:r>
      <w:r>
        <w:rPr>
          <w:rFonts w:hint="eastAsia" w:ascii="仿宋_GB2312" w:hAnsi="宋体" w:eastAsia="仿宋_GB2312"/>
          <w:sz w:val="24"/>
        </w:rPr>
        <w:t>-</w:t>
      </w:r>
      <w:r>
        <w:rPr>
          <w:rFonts w:hint="eastAsia" w:ascii="仿宋_GB2312" w:hAnsi="宋体" w:eastAsia="仿宋_GB2312"/>
          <w:sz w:val="24"/>
          <w:lang w:val="en-US" w:eastAsia="zh-CN"/>
        </w:rPr>
        <w:t>16</w:t>
      </w:r>
      <w:r>
        <w:rPr>
          <w:rFonts w:hint="eastAsia" w:ascii="仿宋_GB2312" w:hAnsi="宋体" w:eastAsia="仿宋_GB2312"/>
          <w:sz w:val="24"/>
        </w:rPr>
        <w:t>dB</w:t>
      </w:r>
      <w:r>
        <w:rPr>
          <w:rFonts w:hint="eastAsia" w:ascii="仿宋_GB2312" w:hAnsi="宋体" w:eastAsia="仿宋_GB2312"/>
          <w:sz w:val="24"/>
          <w:lang w:eastAsia="zh-CN"/>
        </w:rPr>
        <w:t>，</w:t>
      </w:r>
      <w:r>
        <w:rPr>
          <w:rFonts w:hint="eastAsia" w:ascii="仿宋_GB2312" w:hAnsi="宋体" w:eastAsia="仿宋_GB2312"/>
          <w:sz w:val="24"/>
          <w:lang w:val="en-US" w:eastAsia="zh-CN"/>
        </w:rPr>
        <w:t>减少噪声污染，利于人员职业健康</w:t>
      </w:r>
      <w:r>
        <w:rPr>
          <w:rFonts w:hint="eastAsia" w:ascii="仿宋_GB2312" w:hAnsi="宋体" w:eastAsia="仿宋_GB2312"/>
          <w:sz w:val="24"/>
          <w:lang w:eastAsia="zh-CN"/>
        </w:rPr>
        <w:t>；</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rPr>
        <w:t>工艺好，机身经过热时效去除应力，长期稳定性好；齿轮经过磨削、倒圆角等精加工处理 ，噪音低，曲轴等进行调质、淬火、磨削等处理</w:t>
      </w:r>
      <w:r>
        <w:rPr>
          <w:rFonts w:hint="eastAsia" w:ascii="仿宋_GB2312" w:hAnsi="宋体" w:eastAsia="仿宋_GB2312"/>
          <w:sz w:val="24"/>
          <w:lang w:eastAsia="zh-CN"/>
        </w:rPr>
        <w:t>；</w:t>
      </w:r>
    </w:p>
    <w:p>
      <w:pPr>
        <w:numPr>
          <w:ilvl w:val="0"/>
          <w:numId w:val="4"/>
        </w:numPr>
        <w:tabs>
          <w:tab w:val="left" w:pos="2160"/>
        </w:tabs>
        <w:spacing w:line="360" w:lineRule="auto"/>
        <w:ind w:left="0" w:leftChars="0" w:firstLine="480" w:firstLineChars="200"/>
        <w:rPr>
          <w:rFonts w:hint="eastAsia" w:ascii="仿宋_GB2312" w:hAnsi="宋体" w:eastAsia="仿宋_GB2312"/>
          <w:sz w:val="24"/>
        </w:rPr>
      </w:pPr>
      <w:r>
        <w:rPr>
          <w:rFonts w:hint="eastAsia" w:ascii="仿宋_GB2312" w:hAnsi="宋体" w:eastAsia="仿宋_GB2312"/>
          <w:sz w:val="24"/>
          <w:lang w:val="en-US" w:eastAsia="zh-CN"/>
        </w:rPr>
        <w:t>温升限值低，优于标准2-5℃，提升产品稳定性和使用寿命。</w:t>
      </w:r>
      <w:r>
        <w:rPr>
          <w:rFonts w:hint="eastAsia" w:ascii="仿宋_GB2312" w:hAnsi="宋体" w:eastAsia="仿宋_GB2312"/>
          <w:sz w:val="24"/>
        </w:rPr>
        <w:t xml:space="preserve">  </w:t>
      </w:r>
    </w:p>
    <w:p>
      <w:pPr>
        <w:numPr>
          <w:ilvl w:val="0"/>
          <w:numId w:val="4"/>
        </w:numPr>
        <w:tabs>
          <w:tab w:val="left" w:pos="2160"/>
        </w:tabs>
        <w:spacing w:line="360" w:lineRule="auto"/>
        <w:ind w:left="0" w:leftChars="0"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行程次数高，40～90次/min，较标准提升一倍以上，明显提升生产效率。</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lang w:val="en-US" w:eastAsia="zh-CN"/>
        </w:rPr>
        <w:t>以上</w:t>
      </w:r>
      <w:r>
        <w:rPr>
          <w:rFonts w:hint="eastAsia" w:ascii="仿宋_GB2312" w:hAnsi="宋体" w:eastAsia="仿宋_GB2312"/>
          <w:sz w:val="24"/>
        </w:rPr>
        <w:t>符合顾</w:t>
      </w:r>
      <w:r>
        <w:rPr>
          <w:rFonts w:hint="eastAsia" w:ascii="仿宋_GB2312" w:hAnsi="宋体" w:eastAsia="仿宋_GB2312" w:cs="Times New Roman"/>
          <w:sz w:val="24"/>
        </w:rPr>
        <w:t>客对高端</w:t>
      </w:r>
      <w:r>
        <w:rPr>
          <w:rFonts w:hint="eastAsia" w:ascii="仿宋_GB2312" w:hAnsi="宋体" w:eastAsia="仿宋_GB2312"/>
          <w:sz w:val="24"/>
          <w:lang w:eastAsia="zh-CN"/>
        </w:rPr>
        <w:t>新能源柱形电池壳智能冲压设备</w:t>
      </w:r>
      <w:r>
        <w:rPr>
          <w:rFonts w:hint="eastAsia" w:ascii="仿宋_GB2312" w:hAnsi="宋体" w:eastAsia="仿宋_GB2312" w:cs="Times New Roman"/>
          <w:sz w:val="24"/>
        </w:rPr>
        <w:t>的要求。</w:t>
      </w:r>
    </w:p>
    <w:p>
      <w:pPr>
        <w:tabs>
          <w:tab w:val="left" w:pos="2160"/>
        </w:tabs>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4）经济性</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相比</w:t>
      </w:r>
      <w:r>
        <w:rPr>
          <w:rFonts w:hint="eastAsia" w:ascii="仿宋_GB2312" w:hAnsi="宋体" w:eastAsia="仿宋_GB2312"/>
          <w:sz w:val="24"/>
          <w:lang w:val="en-US" w:eastAsia="zh-CN"/>
        </w:rPr>
        <w:t>行业</w:t>
      </w:r>
      <w:r>
        <w:rPr>
          <w:rFonts w:hint="eastAsia" w:ascii="仿宋_GB2312" w:hAnsi="宋体" w:eastAsia="仿宋_GB2312"/>
          <w:sz w:val="24"/>
        </w:rPr>
        <w:t>标准，本标准提升和新增加的指标，均有实际的意义，完全按</w:t>
      </w:r>
      <w:r>
        <w:rPr>
          <w:rFonts w:hint="eastAsia" w:ascii="仿宋_GB2312" w:hAnsi="宋体" w:eastAsia="仿宋_GB2312"/>
          <w:sz w:val="24"/>
          <w:lang w:val="en-US" w:eastAsia="zh-CN"/>
        </w:rPr>
        <w:t>高端客户需求相关</w:t>
      </w:r>
      <w:r>
        <w:rPr>
          <w:rFonts w:hint="eastAsia" w:ascii="仿宋_GB2312" w:hAnsi="宋体" w:eastAsia="仿宋_GB2312"/>
          <w:sz w:val="24"/>
        </w:rPr>
        <w:t>需求来设置，技术成熟，工艺稳定，不增加大的技术改造成本</w:t>
      </w:r>
      <w:r>
        <w:rPr>
          <w:rFonts w:hint="eastAsia" w:ascii="仿宋_GB2312" w:hAnsi="宋体" w:eastAsia="仿宋_GB2312"/>
          <w:sz w:val="24"/>
          <w:lang w:val="en-US" w:eastAsia="zh-CN"/>
        </w:rPr>
        <w:t>。本标准提出的先进性指标，适合市场需求，高端产品与市场价格相符</w:t>
      </w:r>
      <w:r>
        <w:rPr>
          <w:rFonts w:hint="eastAsia" w:ascii="仿宋_GB2312" w:hAnsi="宋体" w:eastAsia="仿宋_GB2312"/>
          <w:sz w:val="24"/>
        </w:rPr>
        <w:t>。</w:t>
      </w:r>
    </w:p>
    <w:p>
      <w:pPr>
        <w:tabs>
          <w:tab w:val="left" w:pos="2160"/>
        </w:tabs>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5）可操作性</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标准的技术要求均有对应的检测方法，且可由第三方实验室进行检测，检测方法都有相应的标准支撑，同时进行设计验证。企业具备产品基础性检测能力，有能力自主把控产品质量。</w:t>
      </w:r>
    </w:p>
    <w:p>
      <w:pPr>
        <w:pStyle w:val="10"/>
        <w:numPr>
          <w:ilvl w:val="0"/>
          <w:numId w:val="0"/>
        </w:numPr>
        <w:spacing w:before="312" w:after="312"/>
        <w:jc w:val="left"/>
        <w:rPr>
          <w:rFonts w:hAnsi="黑体"/>
          <w:sz w:val="24"/>
          <w:szCs w:val="24"/>
        </w:rPr>
      </w:pPr>
      <w:r>
        <w:rPr>
          <w:rFonts w:hint="eastAsia" w:hAnsi="黑体"/>
          <w:sz w:val="24"/>
          <w:szCs w:val="24"/>
        </w:rPr>
        <w:t>4.2  主要内容</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本标准主要内容包括术语和定义、产品分类和型号</w:t>
      </w:r>
      <w:r>
        <w:rPr>
          <w:rFonts w:hint="eastAsia" w:ascii="仿宋_GB2312" w:hAnsi="宋体" w:eastAsia="仿宋_GB2312"/>
          <w:sz w:val="24"/>
          <w:lang w:eastAsia="zh-CN"/>
        </w:rPr>
        <w:t>、</w:t>
      </w:r>
      <w:r>
        <w:rPr>
          <w:rFonts w:hint="eastAsia" w:ascii="仿宋_GB2312" w:hAnsi="宋体" w:eastAsia="仿宋_GB2312"/>
          <w:sz w:val="24"/>
        </w:rPr>
        <w:t>基本要求（设计研发、原材料</w:t>
      </w:r>
      <w:r>
        <w:rPr>
          <w:rFonts w:hint="eastAsia" w:ascii="仿宋_GB2312" w:hAnsi="宋体" w:eastAsia="仿宋_GB2312"/>
          <w:sz w:val="24"/>
          <w:lang w:val="en-US" w:eastAsia="zh-CN"/>
        </w:rPr>
        <w:t>及部件</w:t>
      </w:r>
      <w:r>
        <w:rPr>
          <w:rFonts w:hint="eastAsia" w:ascii="仿宋_GB2312" w:hAnsi="宋体" w:eastAsia="仿宋_GB2312"/>
          <w:sz w:val="24"/>
        </w:rPr>
        <w:t>、工艺</w:t>
      </w:r>
      <w:r>
        <w:rPr>
          <w:rFonts w:hint="eastAsia" w:ascii="仿宋_GB2312" w:hAnsi="宋体" w:eastAsia="仿宋_GB2312"/>
          <w:sz w:val="24"/>
          <w:lang w:val="en-US" w:eastAsia="zh-CN"/>
        </w:rPr>
        <w:t>及装</w:t>
      </w:r>
      <w:r>
        <w:rPr>
          <w:rFonts w:hint="eastAsia" w:ascii="仿宋_GB2312" w:hAnsi="宋体" w:eastAsia="仿宋_GB2312"/>
          <w:sz w:val="24"/>
        </w:rPr>
        <w:t>备、检验检测）、技术要求、试验方法、检验规则、标志、</w:t>
      </w:r>
      <w:r>
        <w:rPr>
          <w:rFonts w:hint="eastAsia" w:ascii="仿宋_GB2312" w:hAnsi="宋体" w:eastAsia="仿宋_GB2312"/>
          <w:sz w:val="24"/>
          <w:lang w:val="en-US" w:eastAsia="zh-CN"/>
        </w:rPr>
        <w:t>起吊、</w:t>
      </w:r>
      <w:r>
        <w:rPr>
          <w:rFonts w:hint="eastAsia" w:ascii="仿宋_GB2312" w:hAnsi="宋体" w:eastAsia="仿宋_GB2312"/>
          <w:sz w:val="24"/>
        </w:rPr>
        <w:t>包装、运输及贮存和质量承诺等内容。</w:t>
      </w:r>
    </w:p>
    <w:p>
      <w:pPr>
        <w:pStyle w:val="10"/>
        <w:numPr>
          <w:ilvl w:val="0"/>
          <w:numId w:val="0"/>
        </w:numPr>
        <w:spacing w:before="312" w:after="312"/>
        <w:jc w:val="left"/>
        <w:rPr>
          <w:rFonts w:hAnsi="黑体"/>
          <w:sz w:val="24"/>
          <w:szCs w:val="24"/>
        </w:rPr>
      </w:pPr>
      <w:r>
        <w:rPr>
          <w:rFonts w:hint="eastAsia" w:hAnsi="黑体"/>
          <w:sz w:val="24"/>
          <w:szCs w:val="24"/>
        </w:rPr>
        <w:t>4.3  主要内容确定依据</w:t>
      </w:r>
    </w:p>
    <w:p>
      <w:pPr>
        <w:pStyle w:val="10"/>
        <w:numPr>
          <w:ilvl w:val="0"/>
          <w:numId w:val="0"/>
        </w:numPr>
        <w:spacing w:before="312" w:after="312"/>
        <w:jc w:val="left"/>
        <w:rPr>
          <w:rFonts w:hAnsi="黑体"/>
          <w:sz w:val="24"/>
          <w:szCs w:val="24"/>
        </w:rPr>
      </w:pPr>
      <w:r>
        <w:rPr>
          <w:rFonts w:hint="eastAsia" w:hAnsi="黑体"/>
          <w:sz w:val="24"/>
          <w:szCs w:val="24"/>
        </w:rPr>
        <w:t xml:space="preserve">4.3.1  </w:t>
      </w:r>
      <w:r>
        <w:rPr>
          <w:rFonts w:hAnsi="黑体"/>
          <w:sz w:val="24"/>
          <w:szCs w:val="24"/>
        </w:rPr>
        <w:t>范围</w:t>
      </w:r>
    </w:p>
    <w:p>
      <w:pPr>
        <w:tabs>
          <w:tab w:val="left" w:pos="2160"/>
        </w:tabs>
        <w:spacing w:line="360" w:lineRule="auto"/>
        <w:ind w:firstLine="480" w:firstLineChars="200"/>
        <w:rPr>
          <w:rFonts w:hint="eastAsia" w:ascii="仿宋_GB2312" w:hAnsi="宋体" w:eastAsia="仿宋_GB2312"/>
          <w:sz w:val="24"/>
          <w:lang w:val="zh-CN" w:eastAsia="zh-CN"/>
        </w:rPr>
      </w:pPr>
      <w:r>
        <w:rPr>
          <w:rFonts w:hint="eastAsia" w:ascii="仿宋_GB2312" w:hAnsi="宋体" w:eastAsia="仿宋_GB2312"/>
          <w:sz w:val="24"/>
          <w:lang w:val="zh-CN"/>
        </w:rPr>
        <w:t>本</w:t>
      </w:r>
      <w:r>
        <w:rPr>
          <w:rFonts w:hint="eastAsia" w:ascii="仿宋_GB2312" w:hAnsi="宋体" w:eastAsia="仿宋_GB2312"/>
          <w:sz w:val="24"/>
          <w:lang w:val="zh-CN" w:eastAsia="zh-CN"/>
        </w:rPr>
        <w:t>文件规定了新能源柱形电池壳智能冲压设备的术语和定</w:t>
      </w:r>
      <w:r>
        <w:rPr>
          <w:rFonts w:hint="eastAsia" w:ascii="仿宋_GB2312" w:hAnsi="宋体" w:eastAsia="仿宋_GB2312"/>
          <w:sz w:val="24"/>
          <w:lang w:val="zh-CN"/>
        </w:rPr>
        <w:t>义、产品分类</w:t>
      </w:r>
      <w:r>
        <w:rPr>
          <w:rFonts w:hint="eastAsia" w:ascii="仿宋_GB2312" w:hAnsi="宋体" w:eastAsia="仿宋_GB2312"/>
          <w:sz w:val="24"/>
        </w:rPr>
        <w:t>和</w:t>
      </w:r>
      <w:r>
        <w:rPr>
          <w:rFonts w:hint="eastAsia" w:ascii="仿宋_GB2312" w:hAnsi="宋体" w:eastAsia="仿宋_GB2312"/>
          <w:sz w:val="24"/>
          <w:lang w:val="zh-CN"/>
        </w:rPr>
        <w:t>型号、基本要求、技术要求、检验</w:t>
      </w:r>
      <w:r>
        <w:rPr>
          <w:rFonts w:hint="eastAsia" w:ascii="仿宋_GB2312" w:hAnsi="宋体" w:eastAsia="仿宋_GB2312"/>
          <w:sz w:val="24"/>
          <w:lang w:val="zh-CN" w:eastAsia="zh-CN"/>
        </w:rPr>
        <w:t>方法、检验规则、包装、标志、运输、贮存和</w:t>
      </w:r>
      <w:r>
        <w:rPr>
          <w:rFonts w:hint="eastAsia" w:ascii="仿宋_GB2312" w:hAnsi="宋体" w:eastAsia="仿宋_GB2312"/>
          <w:sz w:val="24"/>
          <w:lang w:val="en-US" w:eastAsia="zh-CN"/>
        </w:rPr>
        <w:t>质量</w:t>
      </w:r>
      <w:r>
        <w:rPr>
          <w:rFonts w:hint="eastAsia" w:ascii="仿宋_GB2312" w:hAnsi="宋体" w:eastAsia="仿宋_GB2312"/>
          <w:sz w:val="24"/>
          <w:lang w:val="zh-CN" w:eastAsia="zh-CN"/>
        </w:rPr>
        <w:t>承诺。</w:t>
      </w:r>
    </w:p>
    <w:p>
      <w:pPr>
        <w:pStyle w:val="10"/>
        <w:numPr>
          <w:ilvl w:val="0"/>
          <w:numId w:val="0"/>
        </w:numPr>
        <w:spacing w:before="312" w:after="312"/>
        <w:jc w:val="left"/>
        <w:rPr>
          <w:rFonts w:hAnsi="黑体"/>
          <w:sz w:val="24"/>
          <w:szCs w:val="24"/>
        </w:rPr>
      </w:pPr>
      <w:r>
        <w:rPr>
          <w:rFonts w:hint="eastAsia" w:hAnsi="黑体"/>
          <w:sz w:val="24"/>
          <w:szCs w:val="24"/>
        </w:rPr>
        <w:t>4.3.2  基本要求</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主要以标准起草工作组调研结果为基础，按照“浙江制造”标准制订框架要求，就研发设计、原材料</w:t>
      </w:r>
      <w:r>
        <w:rPr>
          <w:rFonts w:hint="eastAsia" w:ascii="仿宋_GB2312" w:hAnsi="宋体" w:eastAsia="仿宋_GB2312"/>
          <w:sz w:val="24"/>
          <w:lang w:val="en-US" w:eastAsia="zh-CN"/>
        </w:rPr>
        <w:t>及部件</w:t>
      </w:r>
      <w:r>
        <w:rPr>
          <w:rFonts w:hint="eastAsia" w:ascii="仿宋_GB2312" w:hAnsi="宋体" w:eastAsia="仿宋_GB2312"/>
          <w:sz w:val="24"/>
        </w:rPr>
        <w:t>、工艺</w:t>
      </w:r>
      <w:r>
        <w:rPr>
          <w:rFonts w:hint="eastAsia" w:ascii="仿宋_GB2312" w:hAnsi="宋体" w:eastAsia="仿宋_GB2312"/>
          <w:sz w:val="24"/>
          <w:lang w:val="en-US" w:eastAsia="zh-CN"/>
        </w:rPr>
        <w:t>及装备</w:t>
      </w:r>
      <w:r>
        <w:rPr>
          <w:rFonts w:hint="eastAsia" w:ascii="仿宋_GB2312" w:hAnsi="宋体" w:eastAsia="仿宋_GB2312"/>
          <w:sz w:val="24"/>
        </w:rPr>
        <w:t>、检验检测等内容进行了标准编制。</w:t>
      </w:r>
    </w:p>
    <w:p>
      <w:pPr>
        <w:pStyle w:val="11"/>
        <w:numPr>
          <w:ilvl w:val="1"/>
          <w:numId w:val="0"/>
        </w:numPr>
        <w:tabs>
          <w:tab w:val="left" w:pos="284"/>
          <w:tab w:val="left" w:pos="567"/>
          <w:tab w:val="clear" w:pos="0"/>
        </w:tabs>
        <w:spacing w:before="156" w:after="156"/>
        <w:rPr>
          <w:rFonts w:hint="eastAsia" w:hAnsi="黑体"/>
          <w:sz w:val="24"/>
          <w:szCs w:val="24"/>
        </w:rPr>
      </w:pPr>
      <w:bookmarkStart w:id="0" w:name="_Toc56512095"/>
      <w:bookmarkStart w:id="1" w:name="_Toc524537690"/>
      <w:r>
        <w:rPr>
          <w:rFonts w:hint="eastAsia" w:ascii="仿宋_GB2312" w:hAnsi="宋体" w:eastAsia="仿宋_GB2312"/>
          <w:b/>
          <w:kern w:val="2"/>
          <w:sz w:val="24"/>
          <w:szCs w:val="24"/>
        </w:rPr>
        <w:t>4.3.2.1</w:t>
      </w:r>
      <w:r>
        <w:rPr>
          <w:rFonts w:hint="eastAsia" w:hAnsi="黑体"/>
          <w:sz w:val="24"/>
          <w:szCs w:val="24"/>
        </w:rPr>
        <w:t>设计研发</w:t>
      </w:r>
      <w:bookmarkEnd w:id="0"/>
    </w:p>
    <w:p>
      <w:pPr>
        <w:tabs>
          <w:tab w:val="left" w:pos="2160"/>
        </w:tabs>
        <w:spacing w:line="360" w:lineRule="auto"/>
        <w:ind w:firstLine="480" w:firstLineChars="200"/>
        <w:rPr>
          <w:rFonts w:hint="eastAsia" w:ascii="仿宋_GB2312" w:hAnsi="宋体" w:eastAsia="仿宋_GB2312"/>
          <w:sz w:val="24"/>
          <w:lang w:val="en-US" w:eastAsia="zh-CN"/>
        </w:rPr>
      </w:pPr>
      <w:bookmarkStart w:id="2" w:name="_Toc56512096"/>
      <w:r>
        <w:rPr>
          <w:rFonts w:hint="eastAsia" w:ascii="仿宋_GB2312" w:hAnsi="宋体" w:eastAsia="仿宋_GB2312"/>
          <w:sz w:val="24"/>
          <w:lang w:val="en-US" w:eastAsia="zh-CN"/>
        </w:rPr>
        <w:t>1）</w:t>
      </w:r>
      <w:r>
        <w:rPr>
          <w:rFonts w:hint="eastAsia" w:ascii="仿宋_GB2312" w:hAnsi="宋体" w:eastAsia="仿宋_GB2312"/>
          <w:sz w:val="24"/>
          <w:lang w:eastAsia="zh-CN"/>
        </w:rPr>
        <w:t>采用三维设计软件设计冲压设备，关键零部件应进行有限元分析</w:t>
      </w:r>
      <w:r>
        <w:rPr>
          <w:rFonts w:hint="eastAsia" w:ascii="仿宋_GB2312" w:hAnsi="宋体" w:eastAsia="仿宋_GB2312"/>
          <w:sz w:val="24"/>
        </w:rPr>
        <w:t>。</w:t>
      </w:r>
    </w:p>
    <w:p>
      <w:pPr>
        <w:pStyle w:val="11"/>
        <w:numPr>
          <w:ilvl w:val="1"/>
          <w:numId w:val="0"/>
        </w:numPr>
        <w:tabs>
          <w:tab w:val="left" w:pos="284"/>
          <w:tab w:val="left" w:pos="567"/>
          <w:tab w:val="clear" w:pos="0"/>
        </w:tabs>
        <w:spacing w:before="156" w:after="156" w:line="360" w:lineRule="auto"/>
        <w:rPr>
          <w:rFonts w:hint="eastAsia" w:ascii="仿宋_GB2312" w:hAnsi="宋体" w:eastAsia="仿宋_GB2312"/>
          <w:b/>
          <w:kern w:val="2"/>
          <w:sz w:val="24"/>
          <w:szCs w:val="24"/>
        </w:rPr>
      </w:pPr>
      <w:r>
        <w:rPr>
          <w:rFonts w:hint="eastAsia" w:hAnsi="黑体"/>
          <w:sz w:val="24"/>
          <w:szCs w:val="24"/>
        </w:rPr>
        <w:t>4.3.2.2</w:t>
      </w:r>
      <w:r>
        <w:rPr>
          <w:rFonts w:hint="eastAsia" w:ascii="仿宋_GB2312" w:hAnsi="宋体" w:eastAsia="仿宋_GB2312" w:cs="Times New Roman"/>
          <w:b/>
          <w:kern w:val="2"/>
          <w:sz w:val="24"/>
          <w:szCs w:val="24"/>
        </w:rPr>
        <w:t>原材料</w:t>
      </w:r>
      <w:bookmarkEnd w:id="1"/>
      <w:bookmarkEnd w:id="2"/>
      <w:r>
        <w:rPr>
          <w:rFonts w:hint="eastAsia" w:ascii="仿宋_GB2312" w:hAnsi="宋体" w:eastAsia="仿宋_GB2312" w:cs="Times New Roman"/>
          <w:b/>
          <w:kern w:val="2"/>
          <w:sz w:val="24"/>
          <w:szCs w:val="24"/>
          <w:lang w:val="en-US" w:eastAsia="zh-CN"/>
        </w:rPr>
        <w:t>及部件</w:t>
      </w:r>
    </w:p>
    <w:p>
      <w:pPr>
        <w:tabs>
          <w:tab w:val="left" w:pos="2160"/>
        </w:tabs>
        <w:spacing w:line="360" w:lineRule="auto"/>
        <w:ind w:firstLine="480" w:firstLineChars="200"/>
        <w:rPr>
          <w:rFonts w:hint="eastAsia" w:ascii="仿宋_GB2312" w:hAnsi="宋体" w:eastAsia="仿宋_GB2312"/>
          <w:sz w:val="24"/>
          <w:lang w:val="en-US" w:eastAsia="zh-CN"/>
        </w:rPr>
      </w:pPr>
      <w:bookmarkStart w:id="3" w:name="甲基乙烯基硅橡胶应符合GB/T 28610的规定。"/>
      <w:bookmarkEnd w:id="3"/>
      <w:bookmarkStart w:id="4" w:name="_Toc524537692"/>
      <w:bookmarkStart w:id="5" w:name="_Toc56512101"/>
      <w:r>
        <w:rPr>
          <w:rFonts w:hint="eastAsia" w:ascii="仿宋_GB2312" w:hAnsi="宋体" w:eastAsia="仿宋_GB2312"/>
          <w:sz w:val="24"/>
          <w:lang w:val="en-US" w:eastAsia="zh-CN"/>
        </w:rPr>
        <w:t>1）焊接件应符合 JB/T 8609 的规定。</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2）自由锻件应符合 GB/T 25136 的规定。</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3）球墨铸铁件应符合 GB/T 1348 的规定。</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4）上、下工作台采用材料性能不低于Q355 的钢材,焊接的机身、滑块应采用材料性能不低于Q235B 的钢材。</w:t>
      </w:r>
    </w:p>
    <w:p>
      <w:pPr>
        <w:pStyle w:val="11"/>
        <w:numPr>
          <w:ilvl w:val="1"/>
          <w:numId w:val="0"/>
        </w:numPr>
        <w:tabs>
          <w:tab w:val="left" w:pos="284"/>
          <w:tab w:val="left" w:pos="567"/>
          <w:tab w:val="clear" w:pos="0"/>
        </w:tabs>
        <w:spacing w:before="156" w:after="156" w:line="360" w:lineRule="auto"/>
        <w:rPr>
          <w:rFonts w:ascii="仿宋_GB2312" w:hAnsi="宋体" w:eastAsia="仿宋_GB2312"/>
          <w:b/>
          <w:kern w:val="2"/>
          <w:sz w:val="24"/>
          <w:szCs w:val="24"/>
        </w:rPr>
      </w:pPr>
      <w:r>
        <w:rPr>
          <w:rFonts w:hint="eastAsia" w:hAnsi="黑体"/>
          <w:sz w:val="24"/>
          <w:szCs w:val="24"/>
        </w:rPr>
        <w:t>4.3.2.3</w:t>
      </w:r>
      <w:r>
        <w:rPr>
          <w:rFonts w:hint="eastAsia" w:ascii="仿宋_GB2312" w:hAnsi="宋体" w:eastAsia="仿宋_GB2312"/>
          <w:b/>
          <w:kern w:val="2"/>
          <w:sz w:val="24"/>
          <w:szCs w:val="24"/>
        </w:rPr>
        <w:t>工艺</w:t>
      </w:r>
      <w:bookmarkEnd w:id="4"/>
      <w:r>
        <w:rPr>
          <w:rFonts w:hint="eastAsia" w:ascii="仿宋_GB2312" w:hAnsi="宋体" w:eastAsia="仿宋_GB2312"/>
          <w:b/>
          <w:kern w:val="2"/>
          <w:sz w:val="24"/>
          <w:szCs w:val="24"/>
          <w:lang w:val="en-US" w:eastAsia="zh-CN"/>
        </w:rPr>
        <w:t>及装</w:t>
      </w:r>
      <w:r>
        <w:rPr>
          <w:rFonts w:hint="eastAsia" w:ascii="仿宋_GB2312" w:hAnsi="宋体" w:eastAsia="仿宋_GB2312"/>
          <w:b/>
          <w:kern w:val="2"/>
          <w:sz w:val="24"/>
          <w:szCs w:val="24"/>
        </w:rPr>
        <w:t>备</w:t>
      </w:r>
      <w:bookmarkEnd w:id="5"/>
    </w:p>
    <w:p>
      <w:pPr>
        <w:tabs>
          <w:tab w:val="left" w:pos="2160"/>
        </w:tabs>
        <w:spacing w:line="360" w:lineRule="auto"/>
        <w:ind w:firstLine="480" w:firstLineChars="200"/>
        <w:rPr>
          <w:rFonts w:hint="eastAsia" w:ascii="仿宋_GB2312" w:hAnsi="宋体" w:eastAsia="仿宋_GB2312"/>
          <w:sz w:val="24"/>
          <w:lang w:val="en-US" w:eastAsia="zh-CN"/>
        </w:rPr>
      </w:pPr>
      <w:bookmarkStart w:id="6" w:name="_Toc56512102"/>
      <w:r>
        <w:rPr>
          <w:rFonts w:hint="eastAsia" w:ascii="仿宋_GB2312" w:hAnsi="宋体" w:eastAsia="仿宋_GB2312"/>
          <w:sz w:val="24"/>
          <w:lang w:val="en-US" w:eastAsia="zh-CN"/>
        </w:rPr>
        <w:t>1）焊接件应进行回火处理，锻件需进行热处理。</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2）传动齿轮（窄槽人字齿除外）应采用磨削加工，齿顶应进行修缘。</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3）机身应采用大型铣镗床加工。</w:t>
      </w:r>
    </w:p>
    <w:p>
      <w:pPr>
        <w:pStyle w:val="11"/>
        <w:numPr>
          <w:ilvl w:val="1"/>
          <w:numId w:val="0"/>
        </w:numPr>
        <w:tabs>
          <w:tab w:val="left" w:pos="284"/>
          <w:tab w:val="left" w:pos="567"/>
          <w:tab w:val="clear" w:pos="0"/>
        </w:tabs>
        <w:spacing w:before="156" w:after="156" w:line="360" w:lineRule="auto"/>
        <w:rPr>
          <w:rFonts w:ascii="仿宋_GB2312" w:hAnsi="宋体" w:eastAsia="仿宋_GB2312"/>
          <w:b/>
          <w:kern w:val="2"/>
          <w:sz w:val="24"/>
          <w:szCs w:val="24"/>
        </w:rPr>
      </w:pPr>
      <w:r>
        <w:rPr>
          <w:rFonts w:hint="eastAsia" w:hAnsi="黑体"/>
          <w:sz w:val="24"/>
          <w:szCs w:val="24"/>
        </w:rPr>
        <w:t>4.3.2.4</w:t>
      </w:r>
      <w:r>
        <w:rPr>
          <w:rFonts w:hint="eastAsia" w:ascii="仿宋_GB2312" w:hAnsi="宋体" w:eastAsia="仿宋_GB2312"/>
          <w:b/>
          <w:kern w:val="2"/>
          <w:sz w:val="24"/>
          <w:szCs w:val="24"/>
        </w:rPr>
        <w:t>检验检测</w:t>
      </w:r>
      <w:bookmarkEnd w:id="6"/>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1）过程应采用激光跟踪仪对机身及滑块体进行在线监测，采用二坐标精密测高仪检测各种零部件加工精度。</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2）应采用下死点检测仪测量下死点动态重复精度。</w:t>
      </w:r>
    </w:p>
    <w:p>
      <w:pPr>
        <w:pStyle w:val="10"/>
        <w:numPr>
          <w:ilvl w:val="0"/>
          <w:numId w:val="0"/>
        </w:numPr>
        <w:spacing w:before="312" w:after="312"/>
        <w:jc w:val="left"/>
        <w:rPr>
          <w:rFonts w:hAnsi="黑体"/>
          <w:sz w:val="24"/>
          <w:szCs w:val="24"/>
        </w:rPr>
      </w:pPr>
      <w:r>
        <w:rPr>
          <w:rFonts w:hint="eastAsia" w:hAnsi="黑体"/>
          <w:sz w:val="24"/>
          <w:szCs w:val="24"/>
        </w:rPr>
        <w:t>4.3.3  技术要求</w:t>
      </w:r>
    </w:p>
    <w:p>
      <w:pPr>
        <w:pStyle w:val="10"/>
        <w:numPr>
          <w:ilvl w:val="0"/>
          <w:numId w:val="0"/>
        </w:numPr>
        <w:spacing w:before="312" w:after="312"/>
        <w:jc w:val="left"/>
        <w:rPr>
          <w:rFonts w:hint="eastAsia" w:hAnsi="黑体"/>
          <w:sz w:val="24"/>
          <w:szCs w:val="24"/>
          <w:lang w:eastAsia="zh-CN"/>
        </w:rPr>
      </w:pPr>
      <w:r>
        <w:rPr>
          <w:rFonts w:hint="eastAsia" w:hAnsi="黑体"/>
          <w:sz w:val="24"/>
          <w:szCs w:val="24"/>
          <w:lang w:eastAsia="zh-CN"/>
        </w:rPr>
        <w:t>4.3.3.</w:t>
      </w:r>
      <w:r>
        <w:rPr>
          <w:rFonts w:hint="eastAsia" w:hAnsi="黑体"/>
          <w:sz w:val="24"/>
          <w:szCs w:val="24"/>
          <w:lang w:val="en-US" w:eastAsia="zh-CN"/>
        </w:rPr>
        <w:t>1</w:t>
      </w:r>
      <w:r>
        <w:rPr>
          <w:rFonts w:hint="eastAsia" w:hAnsi="黑体"/>
          <w:sz w:val="24"/>
          <w:szCs w:val="24"/>
          <w:lang w:eastAsia="zh-CN"/>
        </w:rPr>
        <w:t>基本参数</w:t>
      </w:r>
    </w:p>
    <w:p>
      <w:pPr>
        <w:tabs>
          <w:tab w:val="left" w:pos="2160"/>
        </w:tabs>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依据国内行业标准JB/T1647.2-2012 《闭式压力机 第2部分 技术条件》，</w:t>
      </w:r>
      <w:r>
        <w:rPr>
          <w:rFonts w:hint="eastAsia" w:ascii="仿宋_GB2312" w:hAnsi="宋体" w:eastAsia="仿宋_GB2312"/>
          <w:sz w:val="24"/>
          <w:lang w:val="en-US" w:eastAsia="zh-CN"/>
        </w:rPr>
        <w:t>并参</w:t>
      </w:r>
      <w:r>
        <w:rPr>
          <w:rFonts w:hint="eastAsia" w:ascii="仿宋_GB2312" w:hAnsi="宋体" w:eastAsia="仿宋_GB2312" w:cs="Times New Roman"/>
          <w:sz w:val="24"/>
          <w:lang w:val="en-US" w:eastAsia="zh-CN"/>
        </w:rPr>
        <w:t>考高端客户要求，</w:t>
      </w:r>
      <w:r>
        <w:rPr>
          <w:rFonts w:hint="eastAsia" w:ascii="仿宋_GB2312" w:hAnsi="宋体" w:eastAsia="仿宋_GB2312"/>
          <w:sz w:val="24"/>
          <w:lang w:val="en-US" w:eastAsia="zh-CN"/>
        </w:rPr>
        <w:t>基本参数滑块行程、最大装模高度、装模高度调节量、行程次数、滑块板和工作台尺寸的允差都减小，互换性好，提高产品能稳定，提升产品加工精度，具有先进性。</w:t>
      </w:r>
    </w:p>
    <w:p>
      <w:pPr>
        <w:pStyle w:val="10"/>
        <w:numPr>
          <w:ilvl w:val="0"/>
          <w:numId w:val="0"/>
        </w:numPr>
        <w:spacing w:before="312" w:after="312"/>
        <w:jc w:val="left"/>
        <w:rPr>
          <w:rFonts w:hint="eastAsia" w:hAnsi="黑体"/>
          <w:sz w:val="24"/>
          <w:szCs w:val="24"/>
          <w:lang w:eastAsia="zh-CN"/>
        </w:rPr>
      </w:pPr>
      <w:r>
        <w:rPr>
          <w:rFonts w:hint="eastAsia" w:hAnsi="黑体"/>
          <w:sz w:val="24"/>
          <w:szCs w:val="24"/>
          <w:lang w:eastAsia="zh-CN"/>
        </w:rPr>
        <w:t>4.3.3.</w:t>
      </w:r>
      <w:r>
        <w:rPr>
          <w:rFonts w:hint="eastAsia" w:hAnsi="黑体"/>
          <w:sz w:val="24"/>
          <w:szCs w:val="24"/>
          <w:lang w:val="en-US" w:eastAsia="zh-CN"/>
        </w:rPr>
        <w:t>2</w:t>
      </w:r>
      <w:r>
        <w:rPr>
          <w:rFonts w:hint="eastAsia" w:hAnsi="黑体"/>
          <w:sz w:val="24"/>
          <w:szCs w:val="24"/>
          <w:lang w:eastAsia="zh-CN"/>
        </w:rPr>
        <w:t xml:space="preserve"> 安全</w:t>
      </w:r>
      <w:r>
        <w:rPr>
          <w:rFonts w:hint="eastAsia" w:hAnsi="黑体"/>
          <w:sz w:val="24"/>
          <w:szCs w:val="24"/>
          <w:lang w:val="en-US" w:eastAsia="zh-CN"/>
        </w:rPr>
        <w:t>环境保护</w:t>
      </w:r>
    </w:p>
    <w:p>
      <w:pPr>
        <w:tabs>
          <w:tab w:val="left" w:pos="2160"/>
        </w:tabs>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依据国内行业标准JB/T1647.2-2012 《闭式压力机 第2部分 技术条件》，并参考高端客户要求，连续空运转时噪声和空载单次行程时噪声明显降低，减少噪声污染，利于人员职业健康，具有先进性。</w:t>
      </w:r>
    </w:p>
    <w:p>
      <w:pPr>
        <w:pStyle w:val="10"/>
        <w:numPr>
          <w:ilvl w:val="0"/>
          <w:numId w:val="0"/>
        </w:numPr>
        <w:spacing w:before="312" w:after="312"/>
        <w:jc w:val="left"/>
        <w:rPr>
          <w:rFonts w:hint="eastAsia" w:hAnsi="黑体"/>
          <w:sz w:val="24"/>
          <w:szCs w:val="24"/>
          <w:lang w:eastAsia="zh-CN"/>
        </w:rPr>
      </w:pPr>
      <w:r>
        <w:rPr>
          <w:rFonts w:hint="eastAsia" w:hAnsi="黑体"/>
          <w:sz w:val="24"/>
          <w:szCs w:val="24"/>
          <w:lang w:eastAsia="zh-CN"/>
        </w:rPr>
        <w:t>4.3.3.</w:t>
      </w:r>
      <w:r>
        <w:rPr>
          <w:rFonts w:hint="eastAsia" w:hAnsi="黑体"/>
          <w:sz w:val="24"/>
          <w:szCs w:val="24"/>
          <w:lang w:val="en-US" w:eastAsia="zh-CN"/>
        </w:rPr>
        <w:t>3</w:t>
      </w:r>
      <w:r>
        <w:rPr>
          <w:rFonts w:hint="eastAsia" w:hAnsi="黑体"/>
          <w:sz w:val="24"/>
          <w:szCs w:val="24"/>
          <w:lang w:eastAsia="zh-CN"/>
        </w:rPr>
        <w:t xml:space="preserve"> 精度</w:t>
      </w:r>
    </w:p>
    <w:p>
      <w:pPr>
        <w:tabs>
          <w:tab w:val="left" w:pos="2160"/>
        </w:tabs>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依据国内行业标准JB/T1647.2-2012 《闭式压力机 第2部分 技术条件》，参考国外先进标准JIS B6402：2020 《</w:t>
      </w:r>
      <w:r>
        <w:rPr>
          <w:rFonts w:hint="default" w:ascii="仿宋_GB2312" w:hAnsi="宋体" w:eastAsia="仿宋_GB2312" w:cs="Times New Roman"/>
          <w:sz w:val="24"/>
          <w:lang w:val="en-US" w:eastAsia="zh-CN"/>
        </w:rPr>
        <w:t>Mechanical presses</w:t>
      </w:r>
      <w:r>
        <w:rPr>
          <w:rFonts w:hint="eastAsia" w:ascii="仿宋_GB2312" w:hAnsi="宋体" w:eastAsia="仿宋_GB2312" w:cs="Times New Roman"/>
          <w:sz w:val="24"/>
          <w:lang w:val="en-US" w:eastAsia="zh-CN"/>
        </w:rPr>
        <w:t>—</w:t>
      </w:r>
      <w:r>
        <w:rPr>
          <w:rFonts w:hint="default" w:ascii="仿宋_GB2312" w:hAnsi="宋体" w:eastAsia="仿宋_GB2312" w:cs="Times New Roman"/>
          <w:sz w:val="24"/>
          <w:lang w:val="en-US" w:eastAsia="zh-CN"/>
        </w:rPr>
        <w:t xml:space="preserve"> Testing of the grades and the accuracy</w:t>
      </w:r>
      <w:r>
        <w:rPr>
          <w:rFonts w:hint="eastAsia" w:ascii="仿宋_GB2312" w:hAnsi="宋体" w:eastAsia="仿宋_GB2312" w:cs="Times New Roman"/>
          <w:sz w:val="24"/>
          <w:lang w:val="en-US" w:eastAsia="zh-CN"/>
        </w:rPr>
        <w:t>》，并参考高端客户要求，平面度、平行度、垂直度、综合间隙等制造精度都明显提升，其中增加了下死点动态重复精度，有利于产品性能稳定，提升模具使用寿命和提升产品加工精度，具有先进性。</w:t>
      </w:r>
    </w:p>
    <w:p>
      <w:pPr>
        <w:pStyle w:val="10"/>
        <w:numPr>
          <w:ilvl w:val="0"/>
          <w:numId w:val="0"/>
        </w:numPr>
        <w:spacing w:before="312" w:after="312"/>
        <w:jc w:val="left"/>
        <w:rPr>
          <w:rFonts w:hint="eastAsia" w:hAnsi="黑体"/>
          <w:sz w:val="24"/>
          <w:szCs w:val="24"/>
          <w:lang w:eastAsia="zh-CN"/>
        </w:rPr>
      </w:pPr>
      <w:r>
        <w:rPr>
          <w:rFonts w:hint="eastAsia" w:hAnsi="黑体"/>
          <w:sz w:val="24"/>
          <w:szCs w:val="24"/>
          <w:lang w:eastAsia="zh-CN"/>
        </w:rPr>
        <w:t>4.3.3.</w:t>
      </w:r>
      <w:r>
        <w:rPr>
          <w:rFonts w:hint="eastAsia" w:hAnsi="黑体"/>
          <w:sz w:val="24"/>
          <w:szCs w:val="24"/>
          <w:lang w:val="en-US" w:eastAsia="zh-CN"/>
        </w:rPr>
        <w:t>4</w:t>
      </w:r>
      <w:r>
        <w:rPr>
          <w:rFonts w:hint="eastAsia" w:hAnsi="黑体"/>
          <w:sz w:val="24"/>
          <w:szCs w:val="24"/>
          <w:lang w:eastAsia="zh-CN"/>
        </w:rPr>
        <w:t xml:space="preserve"> 刚性</w:t>
      </w:r>
    </w:p>
    <w:p>
      <w:pPr>
        <w:tabs>
          <w:tab w:val="left" w:pos="2160"/>
        </w:tabs>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依据国内行业标准JB/T1647.2-2012 《闭式压力机 第2部分 技术条件》，并参考高端客户要求，工作台刚性由1/6000提升至降低1/9000，有利于产品性能稳定，提升模具使用寿命和提升产品加工精度，具有先进性。</w:t>
      </w:r>
    </w:p>
    <w:p>
      <w:pPr>
        <w:pStyle w:val="10"/>
        <w:numPr>
          <w:ilvl w:val="0"/>
          <w:numId w:val="0"/>
        </w:numPr>
        <w:spacing w:before="312" w:after="312"/>
        <w:jc w:val="left"/>
        <w:rPr>
          <w:rFonts w:hint="eastAsia" w:hAnsi="黑体"/>
          <w:sz w:val="24"/>
          <w:szCs w:val="24"/>
          <w:lang w:eastAsia="zh-CN"/>
        </w:rPr>
      </w:pPr>
      <w:r>
        <w:rPr>
          <w:rFonts w:hint="eastAsia" w:hAnsi="黑体"/>
          <w:sz w:val="24"/>
          <w:szCs w:val="24"/>
          <w:lang w:eastAsia="zh-CN"/>
        </w:rPr>
        <w:t>4.3.3.</w:t>
      </w:r>
      <w:r>
        <w:rPr>
          <w:rFonts w:hint="eastAsia" w:hAnsi="黑体"/>
          <w:sz w:val="24"/>
          <w:szCs w:val="24"/>
          <w:lang w:val="en-US" w:eastAsia="zh-CN"/>
        </w:rPr>
        <w:t>5</w:t>
      </w:r>
      <w:r>
        <w:rPr>
          <w:rFonts w:hint="eastAsia" w:hAnsi="黑体"/>
          <w:sz w:val="24"/>
          <w:szCs w:val="24"/>
          <w:lang w:eastAsia="zh-CN"/>
        </w:rPr>
        <w:t xml:space="preserve"> </w:t>
      </w:r>
      <w:r>
        <w:rPr>
          <w:rFonts w:hint="eastAsia" w:hAnsi="黑体"/>
          <w:sz w:val="24"/>
          <w:szCs w:val="24"/>
          <w:lang w:val="en-US" w:eastAsia="zh-CN"/>
        </w:rPr>
        <w:t>功</w:t>
      </w:r>
      <w:r>
        <w:rPr>
          <w:rFonts w:hint="eastAsia" w:hAnsi="黑体"/>
          <w:sz w:val="24"/>
          <w:szCs w:val="24"/>
          <w:lang w:eastAsia="zh-CN"/>
        </w:rPr>
        <w:t>能</w:t>
      </w:r>
    </w:p>
    <w:p>
      <w:pPr>
        <w:tabs>
          <w:tab w:val="left" w:pos="2160"/>
        </w:tabs>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依据高端客户要求，较行业标准增加智能功能要求，各类数据反馈，及时调整速度，进行适速拉伸，保证产品质量，同时提高功效，具有先进性。</w:t>
      </w:r>
    </w:p>
    <w:p>
      <w:pPr>
        <w:pStyle w:val="10"/>
        <w:numPr>
          <w:ilvl w:val="0"/>
          <w:numId w:val="0"/>
        </w:numPr>
        <w:spacing w:before="312" w:after="312"/>
        <w:jc w:val="left"/>
        <w:rPr>
          <w:rFonts w:hint="eastAsia" w:hAnsi="黑体"/>
          <w:sz w:val="24"/>
          <w:szCs w:val="24"/>
          <w:lang w:eastAsia="zh-CN"/>
        </w:rPr>
      </w:pPr>
      <w:r>
        <w:rPr>
          <w:rFonts w:hint="eastAsia" w:hAnsi="黑体"/>
          <w:sz w:val="24"/>
          <w:szCs w:val="24"/>
          <w:lang w:eastAsia="zh-CN"/>
        </w:rPr>
        <w:t>4.3.3.</w:t>
      </w:r>
      <w:r>
        <w:rPr>
          <w:rFonts w:hint="eastAsia" w:hAnsi="黑体"/>
          <w:sz w:val="24"/>
          <w:szCs w:val="24"/>
          <w:lang w:val="en-US" w:eastAsia="zh-CN"/>
        </w:rPr>
        <w:t>6</w:t>
      </w:r>
      <w:r>
        <w:rPr>
          <w:rFonts w:hint="eastAsia" w:hAnsi="黑体"/>
          <w:sz w:val="24"/>
          <w:szCs w:val="24"/>
          <w:lang w:eastAsia="zh-CN"/>
        </w:rPr>
        <w:t xml:space="preserve"> 空运转试</w:t>
      </w:r>
      <w:r>
        <w:rPr>
          <w:rFonts w:hint="eastAsia" w:hAnsi="黑体"/>
          <w:sz w:val="24"/>
          <w:szCs w:val="24"/>
          <w:lang w:val="en-US" w:eastAsia="zh-CN"/>
        </w:rPr>
        <w:t>验</w:t>
      </w:r>
    </w:p>
    <w:p>
      <w:pPr>
        <w:tabs>
          <w:tab w:val="left" w:pos="2160"/>
        </w:tabs>
        <w:spacing w:line="360" w:lineRule="auto"/>
        <w:ind w:firstLine="480" w:firstLineChars="200"/>
        <w:rPr>
          <w:rFonts w:hint="eastAsia"/>
        </w:rPr>
      </w:pPr>
      <w:r>
        <w:rPr>
          <w:rFonts w:hint="eastAsia" w:ascii="仿宋_GB2312" w:hAnsi="宋体" w:eastAsia="仿宋_GB2312" w:cs="Times New Roman"/>
          <w:sz w:val="24"/>
          <w:lang w:val="en-US" w:eastAsia="zh-CN"/>
        </w:rPr>
        <w:t>依据国内行业标准JB/T1647.2-2012 《闭式压力机 第2部分 技术条件》，并参考高端客户要求，降低温升限值，提升产品稳定性和使用寿命，具有先进性。</w:t>
      </w:r>
    </w:p>
    <w:p>
      <w:pPr>
        <w:pStyle w:val="10"/>
        <w:numPr>
          <w:ilvl w:val="0"/>
          <w:numId w:val="0"/>
        </w:numPr>
        <w:spacing w:before="312" w:after="312"/>
        <w:jc w:val="left"/>
        <w:rPr>
          <w:rFonts w:hint="eastAsia" w:hAnsi="黑体"/>
          <w:sz w:val="24"/>
          <w:szCs w:val="24"/>
          <w:lang w:eastAsia="zh-CN"/>
        </w:rPr>
      </w:pPr>
      <w:r>
        <w:rPr>
          <w:rFonts w:hint="eastAsia" w:hAnsi="黑体"/>
          <w:sz w:val="24"/>
          <w:szCs w:val="24"/>
          <w:lang w:eastAsia="zh-CN"/>
        </w:rPr>
        <w:t>4.3.3.</w:t>
      </w:r>
      <w:r>
        <w:rPr>
          <w:rFonts w:hint="eastAsia" w:hAnsi="黑体"/>
          <w:sz w:val="24"/>
          <w:szCs w:val="24"/>
          <w:lang w:val="en-US" w:eastAsia="zh-CN"/>
        </w:rPr>
        <w:t>7</w:t>
      </w:r>
      <w:r>
        <w:rPr>
          <w:rFonts w:hint="eastAsia" w:hAnsi="黑体"/>
          <w:sz w:val="24"/>
          <w:szCs w:val="24"/>
          <w:lang w:eastAsia="zh-CN"/>
        </w:rPr>
        <w:t xml:space="preserve"> 电磁兼容</w:t>
      </w:r>
      <w:r>
        <w:rPr>
          <w:rFonts w:hint="eastAsia" w:hAnsi="黑体"/>
          <w:sz w:val="24"/>
          <w:szCs w:val="24"/>
          <w:lang w:val="en-US" w:eastAsia="zh-CN"/>
        </w:rPr>
        <w:t>性能试验</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除4.3.3.1</w:t>
      </w:r>
      <w:r>
        <w:rPr>
          <w:rFonts w:hint="eastAsia" w:ascii="微软雅黑" w:hAnsi="微软雅黑" w:eastAsia="微软雅黑" w:cs="微软雅黑"/>
          <w:sz w:val="24"/>
          <w:lang w:val="en-US" w:eastAsia="zh-CN"/>
        </w:rPr>
        <w:t>~</w:t>
      </w:r>
      <w:r>
        <w:rPr>
          <w:rFonts w:hint="eastAsia" w:ascii="仿宋_GB2312" w:hAnsi="宋体" w:eastAsia="仿宋_GB2312"/>
          <w:sz w:val="24"/>
          <w:lang w:val="en-US" w:eastAsia="zh-CN"/>
        </w:rPr>
        <w:t>4.3.3.6技术要求以外，其他技术要求都依据DL/T 1506-2016要求，与行标保持一致。</w:t>
      </w:r>
    </w:p>
    <w:p>
      <w:pPr>
        <w:pStyle w:val="10"/>
        <w:numPr>
          <w:ilvl w:val="0"/>
          <w:numId w:val="0"/>
        </w:numPr>
        <w:spacing w:before="312" w:after="312"/>
        <w:jc w:val="left"/>
        <w:rPr>
          <w:rFonts w:hAnsi="黑体"/>
          <w:sz w:val="24"/>
          <w:szCs w:val="24"/>
        </w:rPr>
      </w:pPr>
      <w:r>
        <w:rPr>
          <w:rFonts w:hint="eastAsia" w:hAnsi="黑体"/>
          <w:sz w:val="24"/>
          <w:szCs w:val="24"/>
        </w:rPr>
        <w:t>4.3.4试验方法</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标准规定的技术要求，都规定了相应的试验方法，所有的试验方法均按标准的方法实施。</w:t>
      </w:r>
    </w:p>
    <w:p>
      <w:pPr>
        <w:spacing w:line="500" w:lineRule="exact"/>
        <w:rPr>
          <w:rFonts w:ascii="黑体" w:hAnsi="黑体" w:eastAsia="黑体" w:cs="黑体"/>
          <w:sz w:val="24"/>
        </w:rPr>
      </w:pPr>
      <w:r>
        <w:rPr>
          <w:rFonts w:hint="eastAsia" w:ascii="黑体" w:hAnsi="黑体" w:eastAsia="黑体" w:cs="黑体"/>
          <w:sz w:val="24"/>
        </w:rPr>
        <w:t>4.3.5  检验规则</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标准规定了检验分类(出厂检验和型式</w:t>
      </w:r>
      <w:r>
        <w:rPr>
          <w:rFonts w:hint="eastAsia" w:ascii="仿宋_GB2312" w:hAnsi="宋体" w:eastAsia="仿宋_GB2312"/>
          <w:sz w:val="24"/>
          <w:lang w:val="en-US" w:eastAsia="zh-CN"/>
        </w:rPr>
        <w:t>试</w:t>
      </w:r>
      <w:r>
        <w:rPr>
          <w:rFonts w:hint="eastAsia" w:ascii="仿宋_GB2312" w:hAnsi="宋体" w:eastAsia="仿宋_GB2312"/>
          <w:sz w:val="24"/>
        </w:rPr>
        <w:t>验）以及出厂检验的组批、抽样和判定规则。</w:t>
      </w:r>
    </w:p>
    <w:p>
      <w:pPr>
        <w:spacing w:line="500" w:lineRule="exact"/>
        <w:rPr>
          <w:rFonts w:ascii="黑体" w:hAnsi="黑体" w:eastAsia="黑体" w:cs="黑体"/>
          <w:sz w:val="24"/>
        </w:rPr>
      </w:pPr>
      <w:r>
        <w:rPr>
          <w:rFonts w:hint="eastAsia" w:ascii="黑体" w:hAnsi="黑体" w:eastAsia="黑体" w:cs="黑体"/>
          <w:sz w:val="24"/>
        </w:rPr>
        <w:t>4.3.6  包装、</w:t>
      </w:r>
      <w:r>
        <w:rPr>
          <w:rFonts w:hint="eastAsia" w:ascii="黑体" w:hAnsi="黑体" w:eastAsia="黑体" w:cs="黑体"/>
          <w:sz w:val="24"/>
          <w:lang w:val="en-US" w:eastAsia="zh-CN"/>
        </w:rPr>
        <w:t>标志与</w:t>
      </w:r>
      <w:r>
        <w:rPr>
          <w:rFonts w:hint="eastAsia" w:ascii="黑体" w:hAnsi="黑体" w:eastAsia="黑体" w:cs="黑体"/>
          <w:sz w:val="24"/>
        </w:rPr>
        <w:t>运输</w:t>
      </w:r>
      <w:r>
        <w:rPr>
          <w:rFonts w:hint="eastAsia" w:ascii="黑体" w:hAnsi="黑体" w:eastAsia="黑体" w:cs="黑体"/>
          <w:sz w:val="24"/>
          <w:lang w:eastAsia="zh-CN"/>
        </w:rPr>
        <w:t>、</w:t>
      </w:r>
      <w:r>
        <w:rPr>
          <w:rFonts w:hint="eastAsia" w:ascii="黑体" w:hAnsi="黑体" w:eastAsia="黑体" w:cs="黑体"/>
          <w:sz w:val="24"/>
        </w:rPr>
        <w:t>贮存</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标准规定了</w:t>
      </w:r>
      <w:r>
        <w:rPr>
          <w:rFonts w:hint="eastAsia" w:ascii="仿宋_GB2312" w:hAnsi="宋体" w:eastAsia="仿宋_GB2312"/>
          <w:sz w:val="24"/>
          <w:lang w:val="en-US" w:eastAsia="zh-CN"/>
        </w:rPr>
        <w:t>标志</w:t>
      </w:r>
      <w:r>
        <w:rPr>
          <w:rFonts w:hint="eastAsia" w:ascii="仿宋_GB2312" w:hAnsi="宋体" w:eastAsia="仿宋_GB2312"/>
          <w:sz w:val="24"/>
        </w:rPr>
        <w:t>、包装、运输</w:t>
      </w:r>
      <w:r>
        <w:rPr>
          <w:rFonts w:hint="eastAsia" w:ascii="仿宋_GB2312" w:hAnsi="宋体" w:eastAsia="仿宋_GB2312"/>
          <w:sz w:val="24"/>
          <w:lang w:val="en-US" w:eastAsia="zh-CN"/>
        </w:rPr>
        <w:t>和贮</w:t>
      </w:r>
      <w:r>
        <w:rPr>
          <w:rFonts w:hint="eastAsia" w:ascii="仿宋_GB2312" w:hAnsi="宋体" w:eastAsia="仿宋_GB2312"/>
          <w:sz w:val="24"/>
        </w:rPr>
        <w:t>存的要求。</w:t>
      </w:r>
    </w:p>
    <w:p>
      <w:pPr>
        <w:spacing w:line="500" w:lineRule="exact"/>
        <w:rPr>
          <w:rFonts w:ascii="黑体" w:hAnsi="黑体" w:eastAsia="黑体" w:cs="黑体"/>
          <w:sz w:val="24"/>
        </w:rPr>
      </w:pPr>
      <w:r>
        <w:rPr>
          <w:rFonts w:hint="eastAsia" w:ascii="黑体" w:hAnsi="黑体" w:eastAsia="黑体" w:cs="黑体"/>
          <w:sz w:val="24"/>
        </w:rPr>
        <w:t>4.3.7  质量承诺</w:t>
      </w:r>
    </w:p>
    <w:p>
      <w:pPr>
        <w:tabs>
          <w:tab w:val="left" w:pos="2160"/>
        </w:tabs>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lang w:val="en-US" w:eastAsia="zh-CN"/>
        </w:rPr>
        <w:t>1）质保期限：</w:t>
      </w:r>
      <w:r>
        <w:rPr>
          <w:rFonts w:hint="eastAsia" w:ascii="仿宋_GB2312" w:hAnsi="宋体" w:eastAsia="仿宋_GB2312"/>
          <w:sz w:val="24"/>
          <w:lang w:eastAsia="zh-CN"/>
        </w:rPr>
        <w:t>在正常使用、运输、贮存条件下，整机保修12个月，台身、曲轴、滑块等主要机械部件质保期为24个月。</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lang w:val="en-US" w:eastAsia="zh-CN"/>
        </w:rPr>
        <w:t>2）今后服务：</w:t>
      </w:r>
      <w:r>
        <w:rPr>
          <w:rFonts w:hint="eastAsia" w:ascii="仿宋_GB2312" w:hAnsi="宋体" w:eastAsia="仿宋_GB2312"/>
          <w:sz w:val="24"/>
          <w:lang w:eastAsia="zh-CN"/>
        </w:rPr>
        <w:t>建立快速24小时响应和全覆盖的售后服务组织机构。</w:t>
      </w:r>
    </w:p>
    <w:p>
      <w:pPr>
        <w:tabs>
          <w:tab w:val="left" w:pos="2160"/>
        </w:tabs>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sz w:val="24"/>
          <w:lang w:val="en-US" w:eastAsia="zh-CN"/>
        </w:rPr>
        <w:t>3）可追溯性：制造厂建立质量信息追溯系统，保证产品的可追溯。</w:t>
      </w:r>
    </w:p>
    <w:p>
      <w:pPr>
        <w:pStyle w:val="10"/>
        <w:numPr>
          <w:ilvl w:val="0"/>
          <w:numId w:val="0"/>
        </w:numPr>
        <w:spacing w:before="312" w:after="312"/>
        <w:jc w:val="left"/>
        <w:rPr>
          <w:rFonts w:hAnsi="黑体"/>
          <w:sz w:val="24"/>
          <w:szCs w:val="24"/>
        </w:rPr>
      </w:pPr>
      <w:r>
        <w:rPr>
          <w:rFonts w:hint="eastAsia" w:hAnsi="黑体"/>
          <w:sz w:val="24"/>
          <w:szCs w:val="24"/>
        </w:rPr>
        <w:t>5  标准先进性体现</w:t>
      </w:r>
    </w:p>
    <w:p>
      <w:pPr>
        <w:spacing w:line="500" w:lineRule="exact"/>
        <w:rPr>
          <w:rFonts w:ascii="仿宋_GB2312" w:hAnsi="宋体" w:eastAsia="仿宋_GB2312"/>
          <w:color w:val="auto"/>
          <w:sz w:val="24"/>
        </w:rPr>
      </w:pPr>
      <w:r>
        <w:rPr>
          <w:rFonts w:hint="eastAsia" w:ascii="黑体" w:hAnsi="黑体" w:eastAsia="黑体"/>
          <w:color w:val="auto"/>
          <w:sz w:val="24"/>
        </w:rPr>
        <w:t>5.1</w:t>
      </w:r>
      <w:r>
        <w:rPr>
          <w:rFonts w:hint="eastAsia" w:ascii="仿宋_GB2312" w:hAnsi="宋体" w:eastAsia="仿宋_GB2312"/>
          <w:color w:val="auto"/>
          <w:sz w:val="24"/>
        </w:rPr>
        <w:t>型式试验内规定的所有指标对比分析情况。</w:t>
      </w:r>
    </w:p>
    <w:p>
      <w:pPr>
        <w:tabs>
          <w:tab w:val="left" w:pos="2160"/>
        </w:tabs>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w:t>
      </w:r>
      <w:r>
        <w:rPr>
          <w:rFonts w:hint="eastAsia" w:ascii="仿宋_GB2312" w:hAnsi="宋体" w:eastAsia="仿宋_GB2312"/>
          <w:color w:val="auto"/>
          <w:sz w:val="24"/>
          <w:lang w:eastAsia="zh-CN"/>
        </w:rPr>
        <w:t>新能源柱形电池壳智能冲压设备</w:t>
      </w:r>
      <w:r>
        <w:rPr>
          <w:rFonts w:hint="eastAsia" w:ascii="仿宋_GB2312" w:hAnsi="宋体" w:eastAsia="仿宋_GB2312" w:cs="Times New Roman"/>
          <w:color w:val="auto"/>
          <w:sz w:val="24"/>
        </w:rPr>
        <w:t>》以其</w:t>
      </w:r>
      <w:r>
        <w:rPr>
          <w:rFonts w:hint="eastAsia" w:ascii="仿宋_GB2312" w:hAnsi="宋体" w:eastAsia="仿宋_GB2312" w:cs="Times New Roman"/>
          <w:color w:val="auto"/>
          <w:sz w:val="24"/>
          <w:lang w:val="en-US" w:eastAsia="zh-CN"/>
        </w:rPr>
        <w:t>智能化、精度高、效率高、性能稳定等优良特性</w:t>
      </w:r>
      <w:r>
        <w:rPr>
          <w:rFonts w:hint="eastAsia" w:ascii="仿宋_GB2312" w:hAnsi="宋体" w:eastAsia="仿宋_GB2312" w:cs="Times New Roman"/>
          <w:color w:val="auto"/>
          <w:sz w:val="24"/>
        </w:rPr>
        <w:t>在</w:t>
      </w:r>
      <w:r>
        <w:rPr>
          <w:rFonts w:hint="eastAsia" w:ascii="仿宋_GB2312" w:hAnsi="宋体" w:eastAsia="仿宋_GB2312" w:cs="Times New Roman"/>
          <w:color w:val="auto"/>
          <w:sz w:val="24"/>
          <w:lang w:val="en-US" w:eastAsia="zh-CN"/>
        </w:rPr>
        <w:t>高端客户中</w:t>
      </w:r>
      <w:r>
        <w:rPr>
          <w:rFonts w:hint="eastAsia" w:ascii="仿宋_GB2312" w:hAnsi="宋体" w:eastAsia="仿宋_GB2312" w:cs="Times New Roman"/>
          <w:color w:val="auto"/>
          <w:sz w:val="24"/>
        </w:rPr>
        <w:t>有着独特的位置。对照国</w:t>
      </w:r>
      <w:r>
        <w:rPr>
          <w:rFonts w:hint="eastAsia" w:ascii="仿宋_GB2312" w:hAnsi="宋体" w:eastAsia="仿宋_GB2312" w:cs="Times New Roman"/>
          <w:color w:val="auto"/>
          <w:sz w:val="24"/>
          <w:lang w:val="en-US" w:eastAsia="zh-CN"/>
        </w:rPr>
        <w:t>内外先进</w:t>
      </w:r>
      <w:r>
        <w:rPr>
          <w:rFonts w:hint="eastAsia" w:ascii="仿宋_GB2312" w:hAnsi="宋体" w:eastAsia="仿宋_GB2312" w:cs="Times New Roman"/>
          <w:color w:val="auto"/>
          <w:sz w:val="24"/>
        </w:rPr>
        <w:t>标准和</w:t>
      </w:r>
      <w:r>
        <w:rPr>
          <w:rFonts w:hint="eastAsia" w:ascii="仿宋_GB2312" w:hAnsi="宋体" w:eastAsia="仿宋_GB2312" w:cs="Times New Roman"/>
          <w:color w:val="auto"/>
          <w:sz w:val="24"/>
          <w:lang w:val="en-US" w:eastAsia="zh-CN"/>
        </w:rPr>
        <w:t>高端</w:t>
      </w:r>
      <w:r>
        <w:rPr>
          <w:rFonts w:hint="eastAsia" w:ascii="仿宋_GB2312" w:hAnsi="宋体" w:eastAsia="仿宋_GB2312" w:cs="Times New Roman"/>
          <w:color w:val="auto"/>
          <w:sz w:val="24"/>
        </w:rPr>
        <w:t>客户</w:t>
      </w:r>
      <w:r>
        <w:rPr>
          <w:rFonts w:hint="eastAsia" w:ascii="仿宋_GB2312" w:hAnsi="宋体" w:eastAsia="仿宋_GB2312" w:cs="Times New Roman"/>
          <w:color w:val="auto"/>
          <w:sz w:val="24"/>
          <w:lang w:val="en-US" w:eastAsia="zh-CN"/>
        </w:rPr>
        <w:t>要求</w:t>
      </w:r>
      <w:r>
        <w:rPr>
          <w:rFonts w:hint="eastAsia" w:ascii="仿宋_GB2312" w:hAnsi="宋体" w:eastAsia="仿宋_GB2312" w:cs="Times New Roman"/>
          <w:color w:val="auto"/>
          <w:sz w:val="24"/>
        </w:rPr>
        <w:t>，本次提出的主要</w:t>
      </w:r>
      <w:r>
        <w:rPr>
          <w:rFonts w:hint="eastAsia" w:ascii="仿宋_GB2312" w:hAnsi="宋体" w:eastAsia="仿宋_GB2312"/>
          <w:color w:val="auto"/>
          <w:sz w:val="24"/>
        </w:rPr>
        <w:t>技术指标能够满足国内外知名厂商的要求，同时达到了“国内一流、国际先进”的水平。</w:t>
      </w:r>
    </w:p>
    <w:p>
      <w:pPr>
        <w:tabs>
          <w:tab w:val="left" w:pos="2160"/>
        </w:tabs>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本次团体标准提出的技术要求，更好地保证了申报产品的产品质量，有利于整个行业的良好发展。</w:t>
      </w:r>
    </w:p>
    <w:p>
      <w:pPr>
        <w:tabs>
          <w:tab w:val="left" w:pos="2160"/>
        </w:tabs>
        <w:spacing w:line="360" w:lineRule="auto"/>
        <w:ind w:firstLine="480" w:firstLineChars="200"/>
        <w:rPr>
          <w:rFonts w:hint="eastAsia" w:ascii="仿宋_GB2312" w:hAnsi="宋体" w:eastAsia="仿宋_GB2312"/>
          <w:color w:val="auto"/>
          <w:sz w:val="24"/>
        </w:rPr>
      </w:pPr>
      <w:r>
        <w:rPr>
          <w:rFonts w:hint="eastAsia" w:ascii="仿宋_GB2312" w:hAnsi="宋体" w:eastAsia="仿宋_GB2312"/>
          <w:color w:val="auto"/>
          <w:sz w:val="24"/>
        </w:rPr>
        <w:t>以</w:t>
      </w:r>
      <w:r>
        <w:rPr>
          <w:rFonts w:hint="eastAsia" w:ascii="仿宋_GB2312" w:hAnsi="宋体" w:eastAsia="仿宋_GB2312"/>
          <w:color w:val="auto"/>
          <w:sz w:val="24"/>
          <w:lang w:val="en-US" w:eastAsia="zh-CN"/>
        </w:rPr>
        <w:t>浙江易锻精密机械有限公司</w:t>
      </w:r>
      <w:r>
        <w:rPr>
          <w:rFonts w:hint="eastAsia" w:ascii="仿宋_GB2312" w:hAnsi="宋体" w:eastAsia="仿宋_GB2312"/>
          <w:color w:val="auto"/>
          <w:sz w:val="24"/>
        </w:rPr>
        <w:t>为主要起草单位研制的《</w:t>
      </w:r>
      <w:r>
        <w:rPr>
          <w:rFonts w:hint="eastAsia" w:ascii="仿宋_GB2312" w:hAnsi="宋体" w:eastAsia="仿宋_GB2312"/>
          <w:color w:val="auto"/>
          <w:sz w:val="24"/>
          <w:lang w:eastAsia="zh-CN"/>
        </w:rPr>
        <w:t>新能源柱形电池壳智能冲压设备</w:t>
      </w:r>
      <w:r>
        <w:rPr>
          <w:rFonts w:hint="eastAsia" w:ascii="仿宋_GB2312" w:hAnsi="宋体" w:eastAsia="仿宋_GB2312"/>
          <w:color w:val="auto"/>
          <w:sz w:val="24"/>
        </w:rPr>
        <w:t>》标准的技术要求对比</w:t>
      </w:r>
      <w:r>
        <w:rPr>
          <w:rFonts w:hint="eastAsia" w:ascii="仿宋_GB2312" w:hAnsi="宋体" w:eastAsia="仿宋_GB2312"/>
          <w:color w:val="auto"/>
          <w:sz w:val="24"/>
          <w:lang w:val="en-US" w:eastAsia="zh-CN"/>
        </w:rPr>
        <w:t>相关参考的</w:t>
      </w:r>
      <w:r>
        <w:rPr>
          <w:rFonts w:hint="eastAsia" w:ascii="仿宋_GB2312" w:hAnsi="宋体" w:eastAsia="仿宋_GB2312"/>
          <w:color w:val="auto"/>
          <w:sz w:val="24"/>
        </w:rPr>
        <w:t>标准对产品的</w:t>
      </w:r>
      <w:r>
        <w:rPr>
          <w:rFonts w:hint="eastAsia" w:ascii="仿宋_GB2312" w:hAnsi="宋体" w:eastAsia="仿宋_GB2312"/>
          <w:color w:val="auto"/>
          <w:sz w:val="24"/>
          <w:lang w:val="en-US" w:eastAsia="zh-CN"/>
        </w:rPr>
        <w:t>适用性、高效性、</w:t>
      </w:r>
      <w:r>
        <w:rPr>
          <w:rFonts w:hint="eastAsia" w:ascii="仿宋_GB2312" w:hAnsi="宋体" w:eastAsia="仿宋_GB2312"/>
          <w:color w:val="auto"/>
          <w:sz w:val="24"/>
        </w:rPr>
        <w:t>可靠性、安全性</w:t>
      </w:r>
      <w:r>
        <w:rPr>
          <w:rFonts w:hint="eastAsia" w:ascii="仿宋_GB2312" w:hAnsi="宋体" w:eastAsia="仿宋_GB2312"/>
          <w:color w:val="auto"/>
          <w:sz w:val="24"/>
          <w:lang w:eastAsia="zh-CN"/>
        </w:rPr>
        <w:t>、</w:t>
      </w:r>
      <w:r>
        <w:rPr>
          <w:rFonts w:hint="eastAsia" w:ascii="仿宋_GB2312" w:hAnsi="宋体" w:eastAsia="仿宋_GB2312"/>
          <w:color w:val="auto"/>
          <w:sz w:val="24"/>
          <w:lang w:val="en-US" w:eastAsia="zh-CN"/>
        </w:rPr>
        <w:t>智能性</w:t>
      </w:r>
      <w:r>
        <w:rPr>
          <w:rFonts w:hint="eastAsia" w:ascii="仿宋_GB2312" w:hAnsi="宋体" w:eastAsia="仿宋_GB2312"/>
          <w:color w:val="auto"/>
          <w:sz w:val="24"/>
        </w:rPr>
        <w:t>提出了更高的要求，且均有检测报告作为事实依据，具体指标先进性体现见表</w:t>
      </w:r>
      <w:r>
        <w:rPr>
          <w:rFonts w:hint="eastAsia" w:ascii="仿宋_GB2312" w:hAnsi="宋体" w:eastAsia="仿宋_GB2312"/>
          <w:color w:val="auto"/>
          <w:sz w:val="24"/>
          <w:lang w:val="en-US" w:eastAsia="zh-CN"/>
        </w:rPr>
        <w:t>2</w:t>
      </w:r>
      <w:r>
        <w:rPr>
          <w:rFonts w:hint="eastAsia" w:ascii="仿宋_GB2312" w:hAnsi="宋体" w:eastAsia="仿宋_GB2312"/>
          <w:color w:val="auto"/>
          <w:sz w:val="24"/>
        </w:rPr>
        <w:t>。</w:t>
      </w:r>
    </w:p>
    <w:p>
      <w:pPr>
        <w:spacing w:line="500" w:lineRule="exact"/>
        <w:ind w:firstLine="480" w:firstLineChars="200"/>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表2</w:t>
      </w:r>
    </w:p>
    <w:tbl>
      <w:tblPr>
        <w:tblStyle w:val="7"/>
        <w:tblpPr w:leftFromText="180" w:rightFromText="180" w:vertAnchor="text" w:tblpXSpec="center" w:tblpY="1"/>
        <w:tblOverlap w:val="never"/>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700"/>
        <w:gridCol w:w="7"/>
        <w:gridCol w:w="1223"/>
        <w:gridCol w:w="1353"/>
        <w:gridCol w:w="1164"/>
        <w:gridCol w:w="1280"/>
        <w:gridCol w:w="1466"/>
        <w:gridCol w:w="1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blHeader/>
        </w:trPr>
        <w:tc>
          <w:tcPr>
            <w:tcW w:w="650" w:type="dxa"/>
            <w:shd w:val="clear" w:color="auto" w:fill="auto"/>
            <w:noWrap w:val="0"/>
            <w:vAlign w:val="center"/>
          </w:tcPr>
          <w:p>
            <w:pPr>
              <w:adjustRightInd w:val="0"/>
              <w:snapToGrid w:val="0"/>
              <w:jc w:val="center"/>
              <w:rPr>
                <w:rFonts w:hint="eastAsia" w:ascii="宋体" w:hAnsi="宋体" w:eastAsia="宋体" w:cs="宋体"/>
                <w:color w:val="auto"/>
                <w:sz w:val="18"/>
                <w:szCs w:val="18"/>
              </w:rPr>
            </w:pPr>
            <w:r>
              <w:rPr>
                <w:rFonts w:hint="eastAsia" w:ascii="宋体" w:hAnsi="宋体" w:eastAsia="宋体" w:cs="宋体"/>
                <w:color w:val="auto"/>
                <w:kern w:val="0"/>
                <w:sz w:val="18"/>
                <w:szCs w:val="18"/>
              </w:rPr>
              <w:t>产品性能</w:t>
            </w:r>
          </w:p>
        </w:tc>
        <w:tc>
          <w:tcPr>
            <w:tcW w:w="1930" w:type="dxa"/>
            <w:gridSpan w:val="3"/>
            <w:shd w:val="clear" w:color="auto" w:fill="auto"/>
            <w:noWrap w:val="0"/>
            <w:vAlign w:val="center"/>
          </w:tcPr>
          <w:p>
            <w:pPr>
              <w:topLinePunct/>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核心技术指标</w:t>
            </w:r>
          </w:p>
        </w:tc>
        <w:tc>
          <w:tcPr>
            <w:tcW w:w="1353" w:type="dxa"/>
            <w:shd w:val="clear" w:color="auto" w:fill="auto"/>
            <w:noWrap w:val="0"/>
            <w:vAlign w:val="center"/>
          </w:tcPr>
          <w:p>
            <w:pPr>
              <w:topLinePunct/>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JB/T 1647.2—2012</w:t>
            </w:r>
          </w:p>
        </w:tc>
        <w:tc>
          <w:tcPr>
            <w:tcW w:w="1164" w:type="dxa"/>
            <w:shd w:val="clear" w:color="auto" w:fill="auto"/>
            <w:noWrap w:val="0"/>
            <w:vAlign w:val="center"/>
          </w:tcPr>
          <w:p>
            <w:pPr>
              <w:topLinePunct/>
              <w:jc w:val="center"/>
              <w:rPr>
                <w:rFonts w:hint="default" w:ascii="宋体" w:hAnsi="宋体" w:eastAsia="微软雅黑" w:cs="宋体"/>
                <w:color w:val="auto"/>
                <w:sz w:val="18"/>
                <w:szCs w:val="18"/>
                <w:lang w:val="en-US" w:eastAsia="zh-CN"/>
              </w:rPr>
            </w:pPr>
            <w:r>
              <w:rPr>
                <w:rFonts w:hint="default" w:ascii="宋体" w:hAnsi="宋体" w:eastAsia="宋体" w:cs="宋体"/>
                <w:color w:val="auto"/>
                <w:sz w:val="18"/>
                <w:szCs w:val="18"/>
                <w:lang w:val="en-US" w:eastAsia="zh-CN"/>
              </w:rPr>
              <w:t xml:space="preserve">日本工业标准JIS </w:t>
            </w:r>
            <w:r>
              <w:rPr>
                <w:rFonts w:hint="eastAsia" w:ascii="宋体" w:hAnsi="宋体" w:eastAsia="宋体" w:cs="宋体"/>
                <w:color w:val="auto"/>
                <w:sz w:val="18"/>
                <w:szCs w:val="18"/>
                <w:lang w:val="en-US" w:eastAsia="zh-CN"/>
              </w:rPr>
              <w:t xml:space="preserve">JIS </w:t>
            </w:r>
            <w:r>
              <w:rPr>
                <w:rFonts w:hint="default" w:ascii="宋体" w:hAnsi="宋体" w:eastAsia="宋体" w:cs="宋体"/>
                <w:color w:val="auto"/>
                <w:sz w:val="18"/>
                <w:szCs w:val="18"/>
                <w:lang w:val="en-US" w:eastAsia="zh-CN"/>
              </w:rPr>
              <w:t>B</w:t>
            </w:r>
            <w:r>
              <w:rPr>
                <w:rFonts w:hint="eastAsia" w:ascii="宋体" w:hAnsi="宋体" w:eastAsia="宋体" w:cs="宋体"/>
                <w:color w:val="auto"/>
                <w:sz w:val="18"/>
                <w:szCs w:val="18"/>
                <w:lang w:val="en-US" w:eastAsia="zh-CN"/>
              </w:rPr>
              <w:t xml:space="preserve"> </w:t>
            </w:r>
            <w:r>
              <w:rPr>
                <w:rFonts w:hint="default" w:ascii="宋体" w:hAnsi="宋体" w:eastAsia="宋体" w:cs="宋体"/>
                <w:color w:val="auto"/>
                <w:sz w:val="18"/>
                <w:szCs w:val="18"/>
                <w:lang w:val="en-US" w:eastAsia="zh-CN"/>
              </w:rPr>
              <w:t>6402</w:t>
            </w:r>
            <w:r>
              <w:rPr>
                <w:rFonts w:hint="eastAsia" w:ascii="宋体" w:hAnsi="宋体" w:eastAsia="宋体" w:cs="宋体"/>
                <w:color w:val="auto"/>
                <w:sz w:val="18"/>
                <w:szCs w:val="18"/>
                <w:lang w:val="en-US" w:eastAsia="zh-CN"/>
              </w:rPr>
              <w:t>：</w:t>
            </w:r>
            <w:r>
              <w:rPr>
                <w:rFonts w:hint="default" w:ascii="宋体" w:hAnsi="宋体" w:eastAsia="宋体" w:cs="宋体"/>
                <w:color w:val="auto"/>
                <w:sz w:val="18"/>
                <w:szCs w:val="18"/>
                <w:lang w:val="en-US" w:eastAsia="zh-CN"/>
              </w:rPr>
              <w:t>2020</w:t>
            </w:r>
            <w:r>
              <w:rPr>
                <w:rFonts w:hint="eastAsia" w:ascii="宋体" w:hAnsi="宋体" w:eastAsia="宋体" w:cs="宋体"/>
                <w:color w:val="auto"/>
                <w:sz w:val="18"/>
                <w:szCs w:val="18"/>
                <w:lang w:val="en-US" w:eastAsia="zh-CN"/>
              </w:rPr>
              <w:t xml:space="preserve"> (1级)</w:t>
            </w:r>
          </w:p>
        </w:tc>
        <w:tc>
          <w:tcPr>
            <w:tcW w:w="1280" w:type="dxa"/>
            <w:shd w:val="clear" w:color="auto" w:fill="auto"/>
            <w:noWrap w:val="0"/>
            <w:vAlign w:val="center"/>
          </w:tcPr>
          <w:p>
            <w:pPr>
              <w:topLinePunct/>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高端客户SUTHERLAND PRESSES  Malibu,California 90265 USA</w:t>
            </w:r>
          </w:p>
        </w:tc>
        <w:tc>
          <w:tcPr>
            <w:tcW w:w="1466" w:type="dxa"/>
            <w:shd w:val="clear" w:color="auto" w:fill="auto"/>
            <w:noWrap w:val="0"/>
            <w:vAlign w:val="center"/>
          </w:tcPr>
          <w:p>
            <w:pPr>
              <w:topLinePunct/>
              <w:jc w:val="center"/>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T/ZZB XXX</w:t>
            </w:r>
            <w:r>
              <w:rPr>
                <w:rFonts w:hint="eastAsia" w:ascii="宋体" w:hAnsi="宋体" w:eastAsia="宋体" w:cs="宋体"/>
                <w:color w:val="auto"/>
                <w:kern w:val="2"/>
                <w:sz w:val="18"/>
                <w:szCs w:val="18"/>
                <w:lang w:val="en-US" w:eastAsia="zh-CN" w:bidi="ar-SA"/>
              </w:rPr>
              <w:t>XX-2021《新能源柱形电池壳智能冲压设备》</w:t>
            </w:r>
          </w:p>
        </w:tc>
        <w:tc>
          <w:tcPr>
            <w:tcW w:w="1254" w:type="dxa"/>
            <w:shd w:val="clear" w:color="auto" w:fill="auto"/>
            <w:noWrap w:val="0"/>
            <w:vAlign w:val="center"/>
          </w:tcPr>
          <w:p>
            <w:pPr>
              <w:adjustRightInd w:val="0"/>
              <w:snapToGrid w:val="0"/>
              <w:jc w:val="center"/>
              <w:rPr>
                <w:rFonts w:hint="eastAsia" w:ascii="宋体" w:hAnsi="宋体" w:eastAsia="宋体" w:cs="宋体"/>
                <w:color w:val="auto"/>
                <w:sz w:val="18"/>
                <w:szCs w:val="18"/>
              </w:rPr>
            </w:pPr>
            <w:r>
              <w:rPr>
                <w:rFonts w:hint="eastAsia" w:ascii="仿宋" w:hAnsi="仿宋" w:eastAsia="仿宋" w:cs="仿宋"/>
                <w:color w:val="auto"/>
                <w:kern w:val="0"/>
                <w:sz w:val="20"/>
                <w:szCs w:val="20"/>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blHeader/>
        </w:trPr>
        <w:tc>
          <w:tcPr>
            <w:tcW w:w="650" w:type="dxa"/>
            <w:vMerge w:val="restart"/>
            <w:shd w:val="clear" w:color="auto" w:fill="FFFFFF"/>
            <w:noWrap w:val="0"/>
            <w:vAlign w:val="center"/>
          </w:tcPr>
          <w:p>
            <w:pPr>
              <w:jc w:val="center"/>
              <w:rPr>
                <w:rFonts w:hint="default"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可靠性</w:t>
            </w:r>
          </w:p>
        </w:tc>
        <w:tc>
          <w:tcPr>
            <w:tcW w:w="700" w:type="dxa"/>
            <w:vMerge w:val="restart"/>
            <w:shd w:val="clear" w:color="auto" w:fill="FFFFFF"/>
            <w:noWrap w:val="0"/>
            <w:vAlign w:val="center"/>
          </w:tcPr>
          <w:p>
            <w:pPr>
              <w:jc w:val="center"/>
              <w:rPr>
                <w:rFonts w:hint="default"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基本参数允差</w:t>
            </w:r>
          </w:p>
        </w:tc>
        <w:tc>
          <w:tcPr>
            <w:tcW w:w="1230" w:type="dxa"/>
            <w:gridSpan w:val="2"/>
            <w:shd w:val="clear" w:color="auto" w:fill="FFFFFF"/>
            <w:noWrap w:val="0"/>
            <w:vAlign w:val="center"/>
          </w:tcPr>
          <w:p>
            <w:pPr>
              <w:pStyle w:val="14"/>
              <w:spacing w:line="240" w:lineRule="auto"/>
              <w:ind w:firstLine="0"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滑块行程</w:t>
            </w:r>
            <w:r>
              <w:rPr>
                <w:rFonts w:hint="eastAsia" w:ascii="宋体" w:hAnsi="宋体" w:eastAsia="宋体" w:cs="宋体"/>
                <w:color w:val="auto"/>
                <w:sz w:val="18"/>
                <w:szCs w:val="18"/>
                <w:lang w:val="en-US" w:eastAsia="zh-CN"/>
              </w:rPr>
              <w:t>，mm</w:t>
            </w:r>
          </w:p>
        </w:tc>
        <w:tc>
          <w:tcPr>
            <w:tcW w:w="1353" w:type="dxa"/>
            <w:shd w:val="clear" w:color="auto" w:fill="FFFFFF"/>
            <w:noWrap w:val="0"/>
            <w:vAlign w:val="center"/>
          </w:tcPr>
          <w:p>
            <w:pPr>
              <w:pStyle w:val="14"/>
              <w:spacing w:line="240" w:lineRule="auto"/>
              <w:ind w:firstLine="0" w:firstLine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highlight w:val="none"/>
              </w:rPr>
              <w:t>行程量的±</w:t>
            </w:r>
            <w:r>
              <w:rPr>
                <w:rFonts w:hint="eastAsia"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w:t>
            </w:r>
          </w:p>
        </w:tc>
        <w:tc>
          <w:tcPr>
            <w:tcW w:w="1164" w:type="dxa"/>
            <w:shd w:val="clear" w:color="auto" w:fill="FFFFFF"/>
            <w:noWrap w:val="0"/>
            <w:vAlign w:val="center"/>
          </w:tcPr>
          <w:p>
            <w:pPr>
              <w:pStyle w:val="27"/>
              <w:numPr>
                <w:ilvl w:val="0"/>
                <w:numId w:val="0"/>
              </w:numPr>
              <w:tabs>
                <w:tab w:val="clear" w:pos="0"/>
                <w:tab w:val="clear" w:pos="283"/>
              </w:tabs>
              <w:ind w:left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kern w:val="0"/>
                <w:sz w:val="18"/>
                <w:szCs w:val="18"/>
                <w:lang w:val="en-US" w:eastAsia="zh-CN" w:bidi="ar-SA"/>
              </w:rPr>
            </w:pPr>
            <w:r>
              <w:rPr>
                <w:rFonts w:hint="eastAsia" w:ascii="宋体" w:hAnsi="宋体" w:eastAsia="宋体" w:cs="宋体"/>
                <w:color w:val="auto"/>
                <w:sz w:val="18"/>
                <w:szCs w:val="18"/>
                <w:highlight w:val="none"/>
              </w:rPr>
              <w:t>0～+0.5%</w:t>
            </w:r>
          </w:p>
        </w:tc>
        <w:tc>
          <w:tcPr>
            <w:tcW w:w="1466" w:type="dxa"/>
            <w:shd w:val="clear" w:color="auto" w:fill="auto"/>
            <w:noWrap w:val="0"/>
            <w:vAlign w:val="center"/>
          </w:tcPr>
          <w:p>
            <w:pPr>
              <w:pStyle w:val="14"/>
              <w:spacing w:line="240" w:lineRule="auto"/>
              <w:ind w:firstLine="0" w:firstLineChars="0"/>
              <w:jc w:val="center"/>
              <w:rPr>
                <w:rFonts w:hint="eastAsia" w:hAnsi="宋体" w:cs="宋体"/>
                <w:color w:val="auto"/>
                <w:sz w:val="18"/>
                <w:szCs w:val="18"/>
                <w:highlight w:val="none"/>
                <w:lang w:val="en-US" w:eastAsia="zh-CN"/>
              </w:rPr>
            </w:pPr>
            <w:r>
              <w:rPr>
                <w:rFonts w:hint="eastAsia" w:ascii="宋体" w:hAnsi="宋体" w:eastAsia="宋体" w:cs="宋体"/>
                <w:color w:val="auto"/>
                <w:sz w:val="18"/>
                <w:szCs w:val="18"/>
                <w:highlight w:val="none"/>
              </w:rPr>
              <w:t>0～+0.5%</w:t>
            </w:r>
          </w:p>
        </w:tc>
        <w:tc>
          <w:tcPr>
            <w:tcW w:w="1254" w:type="dxa"/>
            <w:vMerge w:val="restart"/>
            <w:shd w:val="clear" w:color="auto" w:fill="FFFFFF"/>
            <w:noWrap w:val="0"/>
            <w:vAlign w:val="center"/>
          </w:tcPr>
          <w:p>
            <w:pPr>
              <w:jc w:val="left"/>
              <w:rPr>
                <w:rFonts w:hint="default" w:ascii="宋体" w:hAnsi="宋体" w:eastAsia="宋体" w:cs="宋体"/>
                <w:color w:val="auto"/>
                <w:sz w:val="18"/>
                <w:szCs w:val="18"/>
                <w:lang w:val="en-US" w:eastAsia="zh-CN"/>
              </w:rPr>
            </w:pPr>
            <w:r>
              <w:rPr>
                <w:rFonts w:hint="eastAsia" w:ascii="宋体" w:hAnsi="宋体" w:eastAsia="宋体" w:cs="宋体"/>
                <w:color w:val="auto"/>
                <w:kern w:val="0"/>
                <w:sz w:val="18"/>
                <w:szCs w:val="18"/>
                <w:lang w:val="en-US" w:eastAsia="zh-CN"/>
              </w:rPr>
              <w:t>基本参数允差减小，互换性好，提高产品能稳定，提升产品加工精度。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blHeader/>
        </w:trPr>
        <w:tc>
          <w:tcPr>
            <w:tcW w:w="650" w:type="dxa"/>
            <w:vMerge w:val="continue"/>
            <w:shd w:val="clear" w:color="auto" w:fill="FFFFFF"/>
            <w:noWrap w:val="0"/>
            <w:vAlign w:val="center"/>
          </w:tcPr>
          <w:p>
            <w:pPr>
              <w:jc w:val="center"/>
              <w:rPr>
                <w:rFonts w:hint="eastAsia" w:ascii="宋体" w:hAnsi="宋体" w:eastAsia="宋体" w:cs="宋体"/>
                <w:color w:val="auto"/>
                <w:kern w:val="0"/>
                <w:sz w:val="18"/>
                <w:szCs w:val="18"/>
                <w:lang w:val="en-US" w:eastAsia="zh-CN"/>
              </w:rPr>
            </w:pPr>
          </w:p>
        </w:tc>
        <w:tc>
          <w:tcPr>
            <w:tcW w:w="700" w:type="dxa"/>
            <w:vMerge w:val="continue"/>
            <w:shd w:val="clear" w:color="auto" w:fill="FFFFFF"/>
            <w:noWrap w:val="0"/>
            <w:vAlign w:val="center"/>
          </w:tcPr>
          <w:p>
            <w:pPr>
              <w:jc w:val="center"/>
              <w:rPr>
                <w:rFonts w:hint="eastAsia" w:ascii="宋体" w:hAnsi="宋体" w:eastAsia="宋体" w:cs="宋体"/>
                <w:color w:val="auto"/>
                <w:kern w:val="0"/>
                <w:sz w:val="18"/>
                <w:szCs w:val="18"/>
                <w:lang w:val="en-US" w:eastAsia="zh-CN"/>
              </w:rPr>
            </w:pPr>
          </w:p>
        </w:tc>
        <w:tc>
          <w:tcPr>
            <w:tcW w:w="1230" w:type="dxa"/>
            <w:gridSpan w:val="2"/>
            <w:shd w:val="clear" w:color="auto" w:fill="FFFFFF"/>
            <w:noWrap w:val="0"/>
            <w:vAlign w:val="center"/>
          </w:tcPr>
          <w:p>
            <w:pPr>
              <w:pStyle w:val="14"/>
              <w:spacing w:line="240" w:lineRule="auto"/>
              <w:ind w:firstLine="0"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最大装模高度</w:t>
            </w:r>
            <w:r>
              <w:rPr>
                <w:rFonts w:hint="eastAsia" w:ascii="宋体" w:hAnsi="宋体" w:eastAsia="宋体" w:cs="宋体"/>
                <w:color w:val="auto"/>
                <w:sz w:val="18"/>
                <w:szCs w:val="18"/>
                <w:lang w:val="en-US" w:eastAsia="zh-CN"/>
              </w:rPr>
              <w:t>，mm</w:t>
            </w:r>
          </w:p>
        </w:tc>
        <w:tc>
          <w:tcPr>
            <w:tcW w:w="1353" w:type="dxa"/>
            <w:shd w:val="clear" w:color="auto" w:fill="FFFFFF"/>
            <w:noWrap w:val="0"/>
            <w:vAlign w:val="center"/>
          </w:tcPr>
          <w:p>
            <w:pPr>
              <w:pStyle w:val="14"/>
              <w:spacing w:line="240" w:lineRule="auto"/>
              <w:ind w:firstLine="0" w:firstLine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highlight w:val="none"/>
              </w:rPr>
              <w:t>尺寸的 0～+</w:t>
            </w:r>
            <w:r>
              <w:rPr>
                <w:rFonts w:hint="eastAsia"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w:t>
            </w:r>
          </w:p>
        </w:tc>
        <w:tc>
          <w:tcPr>
            <w:tcW w:w="1164" w:type="dxa"/>
            <w:shd w:val="clear" w:color="auto" w:fill="FFFFFF"/>
            <w:noWrap w:val="0"/>
            <w:vAlign w:val="center"/>
          </w:tcPr>
          <w:p>
            <w:pPr>
              <w:pStyle w:val="27"/>
              <w:numPr>
                <w:ilvl w:val="0"/>
                <w:numId w:val="0"/>
              </w:numPr>
              <w:tabs>
                <w:tab w:val="clear" w:pos="0"/>
                <w:tab w:val="clear" w:pos="283"/>
              </w:tabs>
              <w:ind w:left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kern w:val="0"/>
                <w:sz w:val="18"/>
                <w:szCs w:val="18"/>
                <w:lang w:val="en-US" w:eastAsia="zh-CN" w:bidi="ar-SA"/>
              </w:rPr>
            </w:pPr>
            <w:r>
              <w:rPr>
                <w:rFonts w:hint="eastAsia" w:ascii="宋体" w:hAnsi="宋体" w:eastAsia="宋体" w:cs="宋体"/>
                <w:color w:val="auto"/>
                <w:sz w:val="18"/>
                <w:szCs w:val="18"/>
                <w:highlight w:val="none"/>
              </w:rPr>
              <w:t>0～+3%</w:t>
            </w:r>
          </w:p>
        </w:tc>
        <w:tc>
          <w:tcPr>
            <w:tcW w:w="1466" w:type="dxa"/>
            <w:shd w:val="clear" w:color="auto" w:fill="auto"/>
            <w:noWrap w:val="0"/>
            <w:vAlign w:val="center"/>
          </w:tcPr>
          <w:p>
            <w:pPr>
              <w:pStyle w:val="14"/>
              <w:spacing w:line="240" w:lineRule="auto"/>
              <w:ind w:firstLine="0" w:firstLineChars="0"/>
              <w:jc w:val="center"/>
              <w:rPr>
                <w:rFonts w:hint="eastAsia" w:hAnsi="宋体" w:cs="宋体"/>
                <w:color w:val="auto"/>
                <w:sz w:val="18"/>
                <w:szCs w:val="18"/>
                <w:highlight w:val="none"/>
                <w:lang w:val="en-US" w:eastAsia="zh-CN"/>
              </w:rPr>
            </w:pPr>
            <w:r>
              <w:rPr>
                <w:rFonts w:hint="eastAsia" w:ascii="宋体" w:hAnsi="宋体" w:eastAsia="宋体" w:cs="宋体"/>
                <w:color w:val="auto"/>
                <w:sz w:val="18"/>
                <w:szCs w:val="18"/>
                <w:highlight w:val="none"/>
              </w:rPr>
              <w:t>0～+3%</w:t>
            </w:r>
          </w:p>
        </w:tc>
        <w:tc>
          <w:tcPr>
            <w:tcW w:w="1254" w:type="dxa"/>
            <w:vMerge w:val="continue"/>
            <w:shd w:val="clear" w:color="auto" w:fill="FFFFFF"/>
            <w:noWrap w:val="0"/>
            <w:vAlign w:val="center"/>
          </w:tcPr>
          <w:p>
            <w:pPr>
              <w:jc w:val="left"/>
              <w:rPr>
                <w:rFonts w:hint="eastAsia" w:ascii="宋体" w:hAnsi="宋体" w:eastAsia="宋体" w:cs="宋体"/>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blHeader/>
        </w:trPr>
        <w:tc>
          <w:tcPr>
            <w:tcW w:w="650" w:type="dxa"/>
            <w:vMerge w:val="continue"/>
            <w:shd w:val="clear" w:color="auto" w:fill="FFFFFF"/>
            <w:noWrap w:val="0"/>
            <w:vAlign w:val="center"/>
          </w:tcPr>
          <w:p>
            <w:pPr>
              <w:jc w:val="center"/>
              <w:rPr>
                <w:rFonts w:hint="eastAsia" w:ascii="宋体" w:hAnsi="宋体" w:eastAsia="宋体" w:cs="宋体"/>
                <w:color w:val="auto"/>
                <w:kern w:val="0"/>
                <w:sz w:val="18"/>
                <w:szCs w:val="18"/>
                <w:lang w:val="en-US" w:eastAsia="zh-CN"/>
              </w:rPr>
            </w:pPr>
          </w:p>
        </w:tc>
        <w:tc>
          <w:tcPr>
            <w:tcW w:w="700" w:type="dxa"/>
            <w:vMerge w:val="continue"/>
            <w:shd w:val="clear" w:color="auto" w:fill="FFFFFF"/>
            <w:noWrap w:val="0"/>
            <w:vAlign w:val="center"/>
          </w:tcPr>
          <w:p>
            <w:pPr>
              <w:jc w:val="center"/>
              <w:rPr>
                <w:rFonts w:hint="eastAsia" w:ascii="宋体" w:hAnsi="宋体" w:eastAsia="宋体" w:cs="宋体"/>
                <w:color w:val="auto"/>
                <w:kern w:val="0"/>
                <w:sz w:val="18"/>
                <w:szCs w:val="18"/>
                <w:lang w:val="en-US" w:eastAsia="zh-CN"/>
              </w:rPr>
            </w:pPr>
          </w:p>
        </w:tc>
        <w:tc>
          <w:tcPr>
            <w:tcW w:w="1230" w:type="dxa"/>
            <w:gridSpan w:val="2"/>
            <w:shd w:val="clear" w:color="auto" w:fill="FFFFFF"/>
            <w:noWrap w:val="0"/>
            <w:vAlign w:val="center"/>
          </w:tcPr>
          <w:p>
            <w:pPr>
              <w:pStyle w:val="14"/>
              <w:spacing w:line="240" w:lineRule="auto"/>
              <w:ind w:firstLine="0"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装模高度调节量</w:t>
            </w:r>
            <w:r>
              <w:rPr>
                <w:rFonts w:hint="eastAsia" w:ascii="宋体" w:hAnsi="宋体" w:eastAsia="宋体" w:cs="宋体"/>
                <w:color w:val="auto"/>
                <w:sz w:val="18"/>
                <w:szCs w:val="18"/>
                <w:lang w:val="en-US" w:eastAsia="zh-CN"/>
              </w:rPr>
              <w:t>，mm</w:t>
            </w:r>
          </w:p>
        </w:tc>
        <w:tc>
          <w:tcPr>
            <w:tcW w:w="1353" w:type="dxa"/>
            <w:shd w:val="clear" w:color="auto" w:fill="FFFFFF"/>
            <w:noWrap w:val="0"/>
            <w:vAlign w:val="center"/>
          </w:tcPr>
          <w:p>
            <w:pPr>
              <w:pStyle w:val="14"/>
              <w:spacing w:line="240" w:lineRule="auto"/>
              <w:ind w:firstLine="0" w:firstLine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highlight w:val="none"/>
              </w:rPr>
              <w:t>调节量的 0～+</w:t>
            </w:r>
            <w:r>
              <w:rPr>
                <w:rFonts w:hint="eastAsia"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w:t>
            </w:r>
          </w:p>
        </w:tc>
        <w:tc>
          <w:tcPr>
            <w:tcW w:w="1164" w:type="dxa"/>
            <w:shd w:val="clear" w:color="auto" w:fill="FFFFFF"/>
            <w:noWrap w:val="0"/>
            <w:vAlign w:val="center"/>
          </w:tcPr>
          <w:p>
            <w:pPr>
              <w:pStyle w:val="27"/>
              <w:numPr>
                <w:ilvl w:val="0"/>
                <w:numId w:val="0"/>
              </w:numPr>
              <w:tabs>
                <w:tab w:val="clear" w:pos="0"/>
                <w:tab w:val="clear" w:pos="283"/>
              </w:tabs>
              <w:ind w:left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kern w:val="0"/>
                <w:sz w:val="18"/>
                <w:szCs w:val="18"/>
                <w:lang w:val="en-US" w:eastAsia="zh-CN" w:bidi="ar-SA"/>
              </w:rPr>
            </w:pPr>
            <w:r>
              <w:rPr>
                <w:rFonts w:hint="eastAsia" w:ascii="宋体" w:hAnsi="宋体" w:eastAsia="宋体" w:cs="宋体"/>
                <w:color w:val="auto"/>
                <w:sz w:val="18"/>
                <w:szCs w:val="18"/>
                <w:highlight w:val="none"/>
                <w:lang w:val="en-US" w:eastAsia="zh-CN"/>
              </w:rPr>
              <w:t>不可调</w:t>
            </w:r>
          </w:p>
        </w:tc>
        <w:tc>
          <w:tcPr>
            <w:tcW w:w="1466" w:type="dxa"/>
            <w:shd w:val="clear" w:color="auto" w:fill="auto"/>
            <w:noWrap w:val="0"/>
            <w:vAlign w:val="center"/>
          </w:tcPr>
          <w:p>
            <w:pPr>
              <w:pStyle w:val="14"/>
              <w:spacing w:line="240" w:lineRule="auto"/>
              <w:ind w:firstLine="0" w:firstLineChars="0"/>
              <w:jc w:val="center"/>
              <w:rPr>
                <w:rFonts w:hint="eastAsia" w:hAnsi="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不可调</w:t>
            </w:r>
          </w:p>
        </w:tc>
        <w:tc>
          <w:tcPr>
            <w:tcW w:w="1254" w:type="dxa"/>
            <w:vMerge w:val="continue"/>
            <w:shd w:val="clear" w:color="auto" w:fill="FFFFFF"/>
            <w:noWrap w:val="0"/>
            <w:vAlign w:val="center"/>
          </w:tcPr>
          <w:p>
            <w:pPr>
              <w:jc w:val="left"/>
              <w:rPr>
                <w:rFonts w:hint="eastAsia" w:ascii="宋体" w:hAnsi="宋体" w:eastAsia="宋体" w:cs="宋体"/>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blHeader/>
        </w:trPr>
        <w:tc>
          <w:tcPr>
            <w:tcW w:w="650" w:type="dxa"/>
            <w:vMerge w:val="continue"/>
            <w:shd w:val="clear" w:color="auto" w:fill="FFFFFF"/>
            <w:noWrap w:val="0"/>
            <w:vAlign w:val="center"/>
          </w:tcPr>
          <w:p>
            <w:pPr>
              <w:jc w:val="center"/>
              <w:rPr>
                <w:rFonts w:hint="eastAsia" w:ascii="宋体" w:hAnsi="宋体" w:eastAsia="宋体" w:cs="宋体"/>
                <w:color w:val="auto"/>
                <w:kern w:val="0"/>
                <w:sz w:val="18"/>
                <w:szCs w:val="18"/>
                <w:lang w:val="en-US" w:eastAsia="zh-CN"/>
              </w:rPr>
            </w:pPr>
          </w:p>
        </w:tc>
        <w:tc>
          <w:tcPr>
            <w:tcW w:w="700" w:type="dxa"/>
            <w:vMerge w:val="continue"/>
            <w:shd w:val="clear" w:color="auto" w:fill="FFFFFF"/>
            <w:noWrap w:val="0"/>
            <w:vAlign w:val="center"/>
          </w:tcPr>
          <w:p>
            <w:pPr>
              <w:jc w:val="center"/>
              <w:rPr>
                <w:rFonts w:hint="eastAsia" w:ascii="宋体" w:hAnsi="宋体" w:eastAsia="宋体" w:cs="宋体"/>
                <w:color w:val="auto"/>
                <w:kern w:val="0"/>
                <w:sz w:val="18"/>
                <w:szCs w:val="18"/>
                <w:lang w:val="en-US" w:eastAsia="zh-CN"/>
              </w:rPr>
            </w:pPr>
          </w:p>
        </w:tc>
        <w:tc>
          <w:tcPr>
            <w:tcW w:w="1230" w:type="dxa"/>
            <w:gridSpan w:val="2"/>
            <w:shd w:val="clear" w:color="auto" w:fill="FFFFFF"/>
            <w:noWrap w:val="0"/>
            <w:vAlign w:val="center"/>
          </w:tcPr>
          <w:p>
            <w:pPr>
              <w:pStyle w:val="14"/>
              <w:spacing w:line="240" w:lineRule="auto"/>
              <w:ind w:firstLine="0" w:firstLineChars="0"/>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行程次数</w:t>
            </w:r>
            <w:r>
              <w:rPr>
                <w:rFonts w:hint="eastAsia"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次/min</w:t>
            </w:r>
          </w:p>
        </w:tc>
        <w:tc>
          <w:tcPr>
            <w:tcW w:w="1353" w:type="dxa"/>
            <w:shd w:val="clear" w:color="auto" w:fill="FFFFFF"/>
            <w:noWrap w:val="0"/>
            <w:vAlign w:val="center"/>
          </w:tcPr>
          <w:p>
            <w:pPr>
              <w:pStyle w:val="14"/>
              <w:spacing w:line="240" w:lineRule="auto"/>
              <w:ind w:firstLine="0" w:firstLine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highlight w:val="none"/>
              </w:rPr>
              <w:t>行程次数的 0～+</w:t>
            </w:r>
            <w:r>
              <w:rPr>
                <w:rFonts w:hint="eastAsia"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w:t>
            </w:r>
          </w:p>
        </w:tc>
        <w:tc>
          <w:tcPr>
            <w:tcW w:w="1164" w:type="dxa"/>
            <w:shd w:val="clear" w:color="auto" w:fill="FFFFFF"/>
            <w:noWrap w:val="0"/>
            <w:vAlign w:val="center"/>
          </w:tcPr>
          <w:p>
            <w:pPr>
              <w:pStyle w:val="27"/>
              <w:numPr>
                <w:ilvl w:val="0"/>
                <w:numId w:val="0"/>
              </w:numPr>
              <w:tabs>
                <w:tab w:val="clear" w:pos="0"/>
                <w:tab w:val="clear" w:pos="283"/>
              </w:tabs>
              <w:ind w:left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kern w:val="0"/>
                <w:sz w:val="18"/>
                <w:szCs w:val="18"/>
                <w:lang w:val="en-US" w:eastAsia="zh-CN" w:bidi="ar-SA"/>
              </w:rPr>
            </w:pPr>
            <w:r>
              <w:rPr>
                <w:rFonts w:hint="eastAsia" w:ascii="宋体" w:hAnsi="宋体" w:eastAsia="宋体" w:cs="宋体"/>
                <w:color w:val="auto"/>
                <w:sz w:val="18"/>
                <w:szCs w:val="18"/>
                <w:highlight w:val="none"/>
              </w:rPr>
              <w:t>0～+</w:t>
            </w:r>
            <w:r>
              <w:rPr>
                <w:rFonts w:hint="eastAsia" w:hAnsi="宋体" w:eastAsia="宋体" w:cs="宋体"/>
                <w:color w:val="auto"/>
                <w:sz w:val="18"/>
                <w:szCs w:val="18"/>
                <w:highlight w:val="none"/>
                <w:lang w:val="en-US" w:eastAsia="zh-CN"/>
              </w:rPr>
              <w:t>6</w:t>
            </w:r>
            <w:r>
              <w:rPr>
                <w:rFonts w:hint="eastAsia" w:ascii="宋体" w:hAnsi="宋体" w:eastAsia="宋体" w:cs="宋体"/>
                <w:color w:val="auto"/>
                <w:sz w:val="18"/>
                <w:szCs w:val="18"/>
                <w:highlight w:val="none"/>
              </w:rPr>
              <w:t>%</w:t>
            </w:r>
          </w:p>
        </w:tc>
        <w:tc>
          <w:tcPr>
            <w:tcW w:w="1466" w:type="dxa"/>
            <w:shd w:val="clear" w:color="auto" w:fill="auto"/>
            <w:noWrap w:val="0"/>
            <w:vAlign w:val="center"/>
          </w:tcPr>
          <w:p>
            <w:pPr>
              <w:pStyle w:val="14"/>
              <w:spacing w:line="240" w:lineRule="auto"/>
              <w:ind w:firstLine="0" w:firstLineChars="0"/>
              <w:jc w:val="center"/>
              <w:rPr>
                <w:rFonts w:hint="eastAsia" w:hAnsi="宋体" w:cs="宋体"/>
                <w:color w:val="auto"/>
                <w:sz w:val="18"/>
                <w:szCs w:val="18"/>
                <w:highlight w:val="none"/>
                <w:lang w:val="en-US" w:eastAsia="zh-CN"/>
              </w:rPr>
            </w:pPr>
            <w:r>
              <w:rPr>
                <w:rFonts w:hint="eastAsia" w:ascii="宋体" w:hAnsi="宋体" w:eastAsia="宋体" w:cs="宋体"/>
                <w:color w:val="auto"/>
                <w:sz w:val="18"/>
                <w:szCs w:val="18"/>
                <w:highlight w:val="none"/>
              </w:rPr>
              <w:t>0～+</w:t>
            </w:r>
            <w:r>
              <w:rPr>
                <w:rFonts w:hint="eastAsia" w:hAnsi="宋体" w:eastAsia="宋体" w:cs="宋体"/>
                <w:color w:val="auto"/>
                <w:sz w:val="18"/>
                <w:szCs w:val="18"/>
                <w:highlight w:val="none"/>
                <w:lang w:val="en-US" w:eastAsia="zh-CN"/>
              </w:rPr>
              <w:t>6</w:t>
            </w:r>
            <w:r>
              <w:rPr>
                <w:rFonts w:hint="eastAsia" w:ascii="宋体" w:hAnsi="宋体" w:eastAsia="宋体" w:cs="宋体"/>
                <w:color w:val="auto"/>
                <w:sz w:val="18"/>
                <w:szCs w:val="18"/>
                <w:highlight w:val="none"/>
              </w:rPr>
              <w:t>%</w:t>
            </w:r>
          </w:p>
        </w:tc>
        <w:tc>
          <w:tcPr>
            <w:tcW w:w="1254" w:type="dxa"/>
            <w:vMerge w:val="continue"/>
            <w:shd w:val="clear" w:color="auto" w:fill="FFFFFF"/>
            <w:noWrap w:val="0"/>
            <w:vAlign w:val="center"/>
          </w:tcPr>
          <w:p>
            <w:pPr>
              <w:jc w:val="left"/>
              <w:rPr>
                <w:rFonts w:hint="eastAsia" w:ascii="宋体" w:hAnsi="宋体" w:eastAsia="宋体" w:cs="宋体"/>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blHeader/>
        </w:trPr>
        <w:tc>
          <w:tcPr>
            <w:tcW w:w="650" w:type="dxa"/>
            <w:vMerge w:val="continue"/>
            <w:shd w:val="clear" w:color="auto" w:fill="FFFFFF"/>
            <w:noWrap w:val="0"/>
            <w:vAlign w:val="center"/>
          </w:tcPr>
          <w:p>
            <w:pPr>
              <w:jc w:val="center"/>
              <w:rPr>
                <w:rFonts w:hint="default" w:ascii="宋体" w:hAnsi="宋体" w:eastAsia="宋体" w:cs="宋体"/>
                <w:color w:val="auto"/>
                <w:kern w:val="0"/>
                <w:sz w:val="18"/>
                <w:szCs w:val="18"/>
                <w:lang w:val="en-US" w:eastAsia="zh-CN"/>
              </w:rPr>
            </w:pPr>
          </w:p>
        </w:tc>
        <w:tc>
          <w:tcPr>
            <w:tcW w:w="700" w:type="dxa"/>
            <w:vMerge w:val="continue"/>
            <w:shd w:val="clear" w:color="auto" w:fill="FFFFFF"/>
            <w:noWrap w:val="0"/>
            <w:vAlign w:val="center"/>
          </w:tcPr>
          <w:p>
            <w:pPr>
              <w:jc w:val="center"/>
              <w:rPr>
                <w:rFonts w:hint="eastAsia" w:ascii="宋体" w:hAnsi="宋体" w:eastAsia="宋体" w:cs="宋体"/>
                <w:color w:val="auto"/>
                <w:kern w:val="0"/>
                <w:sz w:val="18"/>
                <w:szCs w:val="18"/>
                <w:lang w:val="en-US" w:eastAsia="zh-CN"/>
              </w:rPr>
            </w:pPr>
          </w:p>
        </w:tc>
        <w:tc>
          <w:tcPr>
            <w:tcW w:w="1230" w:type="dxa"/>
            <w:gridSpan w:val="2"/>
            <w:shd w:val="clear" w:color="auto" w:fill="FFFFFF"/>
            <w:noWrap w:val="0"/>
            <w:vAlign w:val="center"/>
          </w:tcPr>
          <w:p>
            <w:pPr>
              <w:pStyle w:val="14"/>
              <w:spacing w:line="240" w:lineRule="auto"/>
              <w:ind w:firstLine="0" w:firstLineChars="0"/>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滑块板</w:t>
            </w:r>
            <w:r>
              <w:rPr>
                <w:rFonts w:hint="eastAsia" w:hAnsi="宋体" w:eastAsia="宋体" w:cs="宋体"/>
                <w:color w:val="auto"/>
                <w:sz w:val="18"/>
                <w:szCs w:val="18"/>
                <w:highlight w:val="none"/>
                <w:lang w:val="en-US" w:eastAsia="zh-CN"/>
              </w:rPr>
              <w:t>和</w:t>
            </w:r>
            <w:r>
              <w:rPr>
                <w:rFonts w:hint="eastAsia" w:ascii="宋体" w:hAnsi="宋体" w:eastAsia="宋体" w:cs="宋体"/>
                <w:color w:val="auto"/>
                <w:sz w:val="18"/>
                <w:szCs w:val="18"/>
                <w:highlight w:val="none"/>
              </w:rPr>
              <w:t>工作台尺寸</w:t>
            </w:r>
            <w:r>
              <w:rPr>
                <w:rFonts w:hint="eastAsia" w:ascii="宋体" w:hAnsi="宋体" w:eastAsia="宋体" w:cs="宋体"/>
                <w:color w:val="auto"/>
                <w:sz w:val="18"/>
                <w:szCs w:val="18"/>
                <w:lang w:val="en-US" w:eastAsia="zh-CN"/>
              </w:rPr>
              <w:t>，mm</w:t>
            </w:r>
          </w:p>
        </w:tc>
        <w:tc>
          <w:tcPr>
            <w:tcW w:w="1353" w:type="dxa"/>
            <w:shd w:val="clear" w:color="auto" w:fill="FFFFFF"/>
            <w:noWrap w:val="0"/>
            <w:vAlign w:val="center"/>
          </w:tcPr>
          <w:p>
            <w:pPr>
              <w:keepNext w:val="0"/>
              <w:keepLines w:val="0"/>
              <w:widowControl/>
              <w:suppressLineNumbers w:val="0"/>
              <w:jc w:val="center"/>
              <w:rPr>
                <w:rFonts w:hint="default" w:ascii="宋体" w:hAnsi="宋体" w:eastAsia="宋体" w:cs="宋体"/>
                <w:color w:val="auto"/>
                <w:sz w:val="18"/>
                <w:szCs w:val="18"/>
                <w:lang w:val="en-US" w:eastAsia="zh-CN"/>
              </w:rPr>
            </w:pPr>
            <w:r>
              <w:rPr>
                <w:rFonts w:hint="eastAsia" w:ascii="宋体" w:hAnsi="宋体" w:eastAsia="宋体" w:cs="宋体"/>
                <w:color w:val="000000"/>
                <w:kern w:val="0"/>
                <w:sz w:val="18"/>
                <w:szCs w:val="18"/>
                <w:lang w:val="en-US" w:eastAsia="zh-CN" w:bidi="ar"/>
              </w:rPr>
              <w:t>前后、左右尺寸0</w:t>
            </w:r>
            <w:r>
              <w:rPr>
                <w:rFonts w:hint="eastAsia" w:ascii="微软雅黑" w:hAnsi="微软雅黑" w:eastAsia="微软雅黑" w:cs="微软雅黑"/>
                <w:color w:val="000000"/>
                <w:kern w:val="0"/>
                <w:sz w:val="18"/>
                <w:szCs w:val="18"/>
                <w:lang w:val="en-US" w:eastAsia="zh-CN" w:bidi="ar"/>
              </w:rPr>
              <w:t>~</w:t>
            </w:r>
            <w:r>
              <w:rPr>
                <w:rFonts w:hint="eastAsia" w:ascii="宋体" w:hAnsi="宋体" w:eastAsia="宋体" w:cs="宋体"/>
                <w:color w:val="000000"/>
                <w:kern w:val="0"/>
                <w:sz w:val="18"/>
                <w:szCs w:val="18"/>
                <w:lang w:val="en-US" w:eastAsia="zh-CN" w:bidi="ar"/>
              </w:rPr>
              <w:t>+4</w:t>
            </w:r>
          </w:p>
        </w:tc>
        <w:tc>
          <w:tcPr>
            <w:tcW w:w="1164" w:type="dxa"/>
            <w:shd w:val="clear" w:color="auto" w:fill="FFFFFF"/>
            <w:noWrap w:val="0"/>
            <w:vAlign w:val="center"/>
          </w:tcPr>
          <w:p>
            <w:pPr>
              <w:pStyle w:val="27"/>
              <w:numPr>
                <w:ilvl w:val="0"/>
                <w:numId w:val="0"/>
              </w:numPr>
              <w:tabs>
                <w:tab w:val="clear" w:pos="0"/>
                <w:tab w:val="clear" w:pos="283"/>
              </w:tabs>
              <w:ind w:left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kern w:val="0"/>
                <w:sz w:val="18"/>
                <w:szCs w:val="18"/>
                <w:lang w:val="en-US" w:eastAsia="zh-CN" w:bidi="ar-SA"/>
              </w:rPr>
            </w:pPr>
            <w:r>
              <w:rPr>
                <w:rFonts w:hint="eastAsia" w:ascii="宋体" w:hAnsi="宋体" w:eastAsia="宋体" w:cs="宋体"/>
                <w:color w:val="000000"/>
                <w:kern w:val="0"/>
                <w:sz w:val="18"/>
                <w:szCs w:val="18"/>
                <w:lang w:val="en-US" w:eastAsia="zh-CN" w:bidi="ar"/>
              </w:rPr>
              <w:t>0</w:t>
            </w:r>
            <w:r>
              <w:rPr>
                <w:rFonts w:hint="eastAsia" w:ascii="微软雅黑" w:hAnsi="微软雅黑" w:eastAsia="微软雅黑" w:cs="微软雅黑"/>
                <w:color w:val="000000"/>
                <w:kern w:val="0"/>
                <w:sz w:val="18"/>
                <w:szCs w:val="18"/>
                <w:lang w:val="en-US" w:eastAsia="zh-CN" w:bidi="ar"/>
              </w:rPr>
              <w:t>~</w:t>
            </w:r>
            <w:r>
              <w:rPr>
                <w:rFonts w:hint="eastAsia" w:ascii="宋体" w:hAnsi="宋体" w:eastAsia="宋体" w:cs="宋体"/>
                <w:color w:val="000000"/>
                <w:kern w:val="0"/>
                <w:sz w:val="18"/>
                <w:szCs w:val="18"/>
                <w:lang w:val="en-US" w:eastAsia="zh-CN" w:bidi="ar"/>
              </w:rPr>
              <w:t>+1.2</w:t>
            </w:r>
          </w:p>
        </w:tc>
        <w:tc>
          <w:tcPr>
            <w:tcW w:w="1466" w:type="dxa"/>
            <w:shd w:val="clear" w:color="auto" w:fill="auto"/>
            <w:noWrap w:val="0"/>
            <w:vAlign w:val="center"/>
          </w:tcPr>
          <w:p>
            <w:pPr>
              <w:keepNext w:val="0"/>
              <w:keepLines w:val="0"/>
              <w:widowControl/>
              <w:suppressLineNumbers w:val="0"/>
              <w:jc w:val="center"/>
              <w:rPr>
                <w:rFonts w:hint="default" w:ascii="宋体" w:hAnsi="宋体" w:eastAsia="宋体" w:cs="宋体"/>
                <w:color w:val="auto"/>
                <w:sz w:val="18"/>
                <w:szCs w:val="18"/>
                <w:lang w:val="en-US" w:eastAsia="zh-CN"/>
              </w:rPr>
            </w:pPr>
            <w:r>
              <w:rPr>
                <w:rFonts w:hint="eastAsia" w:ascii="宋体" w:hAnsi="宋体" w:eastAsia="宋体" w:cs="宋体"/>
                <w:color w:val="000000"/>
                <w:kern w:val="0"/>
                <w:sz w:val="18"/>
                <w:szCs w:val="18"/>
                <w:lang w:val="en-US" w:eastAsia="zh-CN" w:bidi="ar"/>
              </w:rPr>
              <w:t>0</w:t>
            </w:r>
            <w:r>
              <w:rPr>
                <w:rFonts w:hint="eastAsia" w:ascii="微软雅黑" w:hAnsi="微软雅黑" w:eastAsia="微软雅黑" w:cs="微软雅黑"/>
                <w:color w:val="000000"/>
                <w:kern w:val="0"/>
                <w:sz w:val="18"/>
                <w:szCs w:val="18"/>
                <w:lang w:val="en-US" w:eastAsia="zh-CN" w:bidi="ar"/>
              </w:rPr>
              <w:t>~</w:t>
            </w:r>
            <w:r>
              <w:rPr>
                <w:rFonts w:hint="eastAsia" w:ascii="宋体" w:hAnsi="宋体" w:eastAsia="宋体" w:cs="宋体"/>
                <w:color w:val="000000"/>
                <w:kern w:val="0"/>
                <w:sz w:val="18"/>
                <w:szCs w:val="18"/>
                <w:lang w:val="en-US" w:eastAsia="zh-CN" w:bidi="ar"/>
              </w:rPr>
              <w:t>+1.2</w:t>
            </w:r>
          </w:p>
        </w:tc>
        <w:tc>
          <w:tcPr>
            <w:tcW w:w="1254" w:type="dxa"/>
            <w:vMerge w:val="continue"/>
            <w:shd w:val="clear" w:color="auto" w:fill="FFFFFF"/>
            <w:noWrap w:val="0"/>
            <w:vAlign w:val="center"/>
          </w:tcPr>
          <w:p>
            <w:pPr>
              <w:jc w:val="left"/>
              <w:rPr>
                <w:rFonts w:hint="eastAsia" w:ascii="宋体" w:hAnsi="宋体" w:eastAsia="宋体" w:cs="宋体"/>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trPr>
        <w:tc>
          <w:tcPr>
            <w:tcW w:w="650" w:type="dxa"/>
            <w:vMerge w:val="restart"/>
            <w:shd w:val="clear" w:color="auto" w:fill="FFFFFF"/>
            <w:noWrap w:val="0"/>
            <w:vAlign w:val="center"/>
          </w:tcPr>
          <w:p>
            <w:pPr>
              <w:jc w:val="center"/>
              <w:rPr>
                <w:rFonts w:hint="default" w:ascii="宋体" w:hAnsi="宋体" w:eastAsia="宋体" w:cs="宋体"/>
                <w:color w:val="auto"/>
                <w:sz w:val="18"/>
                <w:szCs w:val="18"/>
                <w:lang w:val="en-US"/>
              </w:rPr>
            </w:pPr>
            <w:r>
              <w:rPr>
                <w:rFonts w:hint="eastAsia" w:ascii="宋体" w:hAnsi="宋体" w:eastAsia="宋体" w:cs="宋体"/>
                <w:color w:val="auto"/>
                <w:kern w:val="0"/>
                <w:sz w:val="18"/>
                <w:szCs w:val="18"/>
                <w:lang w:val="en-US" w:eastAsia="zh-CN"/>
              </w:rPr>
              <w:t>适用性</w:t>
            </w:r>
          </w:p>
        </w:tc>
        <w:tc>
          <w:tcPr>
            <w:tcW w:w="707" w:type="dxa"/>
            <w:gridSpan w:val="2"/>
            <w:vMerge w:val="restart"/>
            <w:shd w:val="clear" w:color="auto" w:fill="FFFFFF"/>
            <w:noWrap w:val="0"/>
            <w:vAlign w:val="center"/>
          </w:tcPr>
          <w:p>
            <w:pPr>
              <w:pStyle w:val="11"/>
              <w:numPr>
                <w:ilvl w:val="0"/>
                <w:numId w:val="0"/>
              </w:numPr>
              <w:tabs>
                <w:tab w:val="clear" w:pos="0"/>
              </w:tabs>
              <w:spacing w:before="159" w:after="159"/>
              <w:ind w:left="0" w:leftChars="0" w:firstLine="0" w:firstLineChars="0"/>
              <w:jc w:val="left"/>
              <w:rPr>
                <w:rFonts w:hint="default" w:ascii="宋体" w:hAnsi="宋体" w:eastAsia="宋体" w:cs="宋体"/>
                <w:color w:val="auto"/>
                <w:kern w:val="21"/>
                <w:sz w:val="18"/>
                <w:szCs w:val="18"/>
                <w:lang w:val="en-US" w:eastAsia="zh-CN" w:bidi="ar-SA"/>
              </w:rPr>
            </w:pPr>
            <w:r>
              <w:rPr>
                <w:rFonts w:hint="eastAsia" w:ascii="宋体" w:hAnsi="宋体" w:eastAsia="宋体" w:cs="宋体"/>
                <w:color w:val="auto"/>
                <w:kern w:val="21"/>
                <w:sz w:val="18"/>
                <w:szCs w:val="18"/>
                <w:lang w:val="en-US" w:eastAsia="zh-CN" w:bidi="ar-SA"/>
              </w:rPr>
              <w:t>精度</w:t>
            </w:r>
          </w:p>
        </w:tc>
        <w:tc>
          <w:tcPr>
            <w:tcW w:w="1223" w:type="dxa"/>
            <w:shd w:val="clear" w:color="auto" w:fill="FFFFFF"/>
            <w:noWrap w:val="0"/>
            <w:vAlign w:val="center"/>
          </w:tcPr>
          <w:p>
            <w:pPr>
              <w:pStyle w:val="11"/>
              <w:numPr>
                <w:ilvl w:val="0"/>
                <w:numId w:val="0"/>
              </w:numPr>
              <w:tabs>
                <w:tab w:val="clear" w:pos="0"/>
              </w:tabs>
              <w:spacing w:before="159" w:after="159"/>
              <w:ind w:left="0" w:leftChars="0" w:firstLine="0" w:firstLineChars="0"/>
              <w:jc w:val="left"/>
              <w:rPr>
                <w:rFonts w:hint="eastAsia" w:eastAsia="黑体"/>
                <w:sz w:val="18"/>
                <w:szCs w:val="18"/>
                <w:lang w:eastAsia="zh-CN"/>
              </w:rPr>
            </w:pPr>
            <w:r>
              <w:rPr>
                <w:rFonts w:hint="eastAsia" w:ascii="宋体" w:hAnsi="宋体" w:eastAsia="宋体" w:cs="宋体"/>
                <w:color w:val="auto"/>
                <w:kern w:val="2"/>
                <w:sz w:val="18"/>
                <w:szCs w:val="18"/>
                <w:lang w:val="en-US" w:eastAsia="zh-CN" w:bidi="ar-SA"/>
              </w:rPr>
              <w:t>平面度，mm</w:t>
            </w:r>
          </w:p>
        </w:tc>
        <w:tc>
          <w:tcPr>
            <w:tcW w:w="1353"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kern w:val="21"/>
                <w:sz w:val="18"/>
                <w:szCs w:val="18"/>
                <w:lang w:val="en-US" w:eastAsia="zh-CN" w:bidi="ar-SA"/>
              </w:rPr>
            </w:pPr>
            <w:r>
              <w:rPr>
                <w:rFonts w:hint="eastAsia" w:hAnsi="宋体" w:cs="宋体"/>
                <w:color w:val="auto"/>
                <w:sz w:val="18"/>
                <w:szCs w:val="18"/>
                <w:lang w:val="en-US" w:eastAsia="zh-CN"/>
              </w:rPr>
              <w:t>0.175</w:t>
            </w:r>
          </w:p>
        </w:tc>
        <w:tc>
          <w:tcPr>
            <w:tcW w:w="1164" w:type="dxa"/>
            <w:shd w:val="clear" w:color="auto" w:fill="FFFFFF"/>
            <w:noWrap w:val="0"/>
            <w:vAlign w:val="center"/>
          </w:tcPr>
          <w:p>
            <w:pPr>
              <w:jc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0.066</w:t>
            </w:r>
          </w:p>
        </w:tc>
        <w:tc>
          <w:tcPr>
            <w:tcW w:w="1466" w:type="dxa"/>
            <w:shd w:val="clear" w:color="auto" w:fill="auto"/>
            <w:noWrap w:val="0"/>
            <w:vAlign w:val="center"/>
          </w:tcPr>
          <w:p>
            <w:pPr>
              <w:ind w:firstLine="0" w:firstLineChars="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0.066</w:t>
            </w:r>
          </w:p>
        </w:tc>
        <w:tc>
          <w:tcPr>
            <w:tcW w:w="1254" w:type="dxa"/>
            <w:vMerge w:val="restart"/>
            <w:shd w:val="clear" w:color="auto" w:fill="FFFFFF"/>
            <w:noWrap w:val="0"/>
            <w:vAlign w:val="center"/>
          </w:tcPr>
          <w:p>
            <w:pPr>
              <w:jc w:val="left"/>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0"/>
                <w:sz w:val="18"/>
                <w:szCs w:val="18"/>
                <w:lang w:val="en-US" w:eastAsia="zh-CN"/>
              </w:rPr>
              <w:t>有利于产品性能稳定，提升模具使用寿命和提升产品加工精度。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trPr>
        <w:tc>
          <w:tcPr>
            <w:tcW w:w="650" w:type="dxa"/>
            <w:vMerge w:val="continue"/>
            <w:shd w:val="clear" w:color="auto" w:fill="FFFFFF"/>
            <w:noWrap w:val="0"/>
            <w:vAlign w:val="center"/>
          </w:tcPr>
          <w:p>
            <w:pPr>
              <w:jc w:val="center"/>
              <w:rPr>
                <w:rFonts w:hint="eastAsia" w:ascii="宋体" w:hAnsi="宋体" w:eastAsia="宋体" w:cs="宋体"/>
                <w:color w:val="auto"/>
                <w:kern w:val="0"/>
                <w:sz w:val="18"/>
                <w:szCs w:val="18"/>
              </w:rPr>
            </w:pPr>
          </w:p>
        </w:tc>
        <w:tc>
          <w:tcPr>
            <w:tcW w:w="707" w:type="dxa"/>
            <w:gridSpan w:val="2"/>
            <w:vMerge w:val="continue"/>
            <w:shd w:val="clear" w:color="auto" w:fill="FFFFFF"/>
            <w:noWrap w:val="0"/>
            <w:vAlign w:val="center"/>
          </w:tcPr>
          <w:p>
            <w:pPr>
              <w:jc w:val="left"/>
              <w:rPr>
                <w:rFonts w:hint="default" w:ascii="宋体" w:hAnsi="宋体" w:eastAsia="宋体" w:cs="宋体"/>
                <w:color w:val="auto"/>
                <w:sz w:val="18"/>
                <w:szCs w:val="18"/>
                <w:lang w:val="en-US" w:eastAsia="zh-CN"/>
              </w:rPr>
            </w:pPr>
          </w:p>
        </w:tc>
        <w:tc>
          <w:tcPr>
            <w:tcW w:w="1223" w:type="dxa"/>
            <w:shd w:val="clear" w:color="auto" w:fill="FFFFFF"/>
            <w:noWrap w:val="0"/>
            <w:vAlign w:val="center"/>
          </w:tcPr>
          <w:p>
            <w:pPr>
              <w:jc w:val="left"/>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平行度，mm</w:t>
            </w:r>
          </w:p>
        </w:tc>
        <w:tc>
          <w:tcPr>
            <w:tcW w:w="1353" w:type="dxa"/>
            <w:shd w:val="clear" w:color="auto" w:fill="FFFFFF"/>
            <w:noWrap w:val="0"/>
            <w:vAlign w:val="center"/>
          </w:tcPr>
          <w:p>
            <w:pPr>
              <w:pStyle w:val="27"/>
              <w:numPr>
                <w:ilvl w:val="0"/>
                <w:numId w:val="0"/>
              </w:numPr>
              <w:tabs>
                <w:tab w:val="clear" w:pos="0"/>
                <w:tab w:val="clear" w:pos="283"/>
              </w:tabs>
              <w:ind w:leftChars="0"/>
              <w:jc w:val="center"/>
              <w:rPr>
                <w:rFonts w:hint="default"/>
                <w:color w:val="auto"/>
                <w:sz w:val="18"/>
                <w:szCs w:val="18"/>
                <w:lang w:val="en-US" w:eastAsia="zh-CN"/>
              </w:rPr>
            </w:pPr>
            <w:r>
              <w:rPr>
                <w:rFonts w:hint="eastAsia"/>
                <w:color w:val="auto"/>
                <w:sz w:val="18"/>
                <w:szCs w:val="18"/>
                <w:lang w:val="en-US" w:eastAsia="zh-CN"/>
              </w:rPr>
              <w:t>左右：0.328</w:t>
            </w:r>
          </w:p>
          <w:p>
            <w:pPr>
              <w:pStyle w:val="27"/>
              <w:numPr>
                <w:ilvl w:val="0"/>
                <w:numId w:val="0"/>
              </w:numPr>
              <w:tabs>
                <w:tab w:val="clear" w:pos="0"/>
                <w:tab w:val="clear" w:pos="283"/>
              </w:tabs>
              <w:ind w:leftChars="0"/>
              <w:jc w:val="center"/>
              <w:rPr>
                <w:rFonts w:hint="default"/>
                <w:color w:val="auto"/>
                <w:sz w:val="18"/>
                <w:szCs w:val="18"/>
                <w:lang w:val="en-US" w:eastAsia="zh-CN"/>
              </w:rPr>
            </w:pPr>
            <w:r>
              <w:rPr>
                <w:rFonts w:hint="eastAsia"/>
                <w:color w:val="auto"/>
                <w:sz w:val="18"/>
                <w:szCs w:val="18"/>
                <w:lang w:val="en-US" w:eastAsia="zh-CN"/>
              </w:rPr>
              <w:t>前后：0.143</w:t>
            </w:r>
          </w:p>
        </w:tc>
        <w:tc>
          <w:tcPr>
            <w:tcW w:w="1164" w:type="dxa"/>
            <w:shd w:val="clear" w:color="auto" w:fill="FFFFFF"/>
            <w:noWrap w:val="0"/>
            <w:vAlign w:val="center"/>
          </w:tcPr>
          <w:p>
            <w:pPr>
              <w:pStyle w:val="27"/>
              <w:numPr>
                <w:ilvl w:val="0"/>
                <w:numId w:val="0"/>
              </w:numPr>
              <w:tabs>
                <w:tab w:val="clear" w:pos="0"/>
                <w:tab w:val="clear" w:pos="283"/>
              </w:tabs>
              <w:ind w:leftChars="0"/>
              <w:jc w:val="center"/>
              <w:rPr>
                <w:rFonts w:hint="default"/>
                <w:color w:val="auto"/>
                <w:sz w:val="18"/>
                <w:szCs w:val="18"/>
                <w:lang w:val="en-US" w:eastAsia="zh-CN"/>
              </w:rPr>
            </w:pPr>
            <w:r>
              <w:rPr>
                <w:rFonts w:hint="eastAsia"/>
                <w:color w:val="auto"/>
                <w:sz w:val="18"/>
                <w:szCs w:val="18"/>
                <w:lang w:val="en-US" w:eastAsia="zh-CN"/>
              </w:rPr>
              <w:t>左右：0.162</w:t>
            </w:r>
          </w:p>
          <w:p>
            <w:pPr>
              <w:pStyle w:val="27"/>
              <w:numPr>
                <w:ilvl w:val="0"/>
                <w:numId w:val="0"/>
              </w:numPr>
              <w:tabs>
                <w:tab w:val="clear" w:pos="0"/>
                <w:tab w:val="clear" w:pos="283"/>
              </w:tabs>
              <w:ind w:leftChars="0"/>
              <w:jc w:val="center"/>
              <w:rPr>
                <w:rFonts w:hint="default"/>
                <w:color w:val="auto"/>
                <w:sz w:val="18"/>
                <w:szCs w:val="18"/>
                <w:lang w:val="en-US" w:eastAsia="zh-CN"/>
              </w:rPr>
            </w:pPr>
            <w:r>
              <w:rPr>
                <w:rFonts w:hint="eastAsia"/>
                <w:color w:val="auto"/>
                <w:sz w:val="18"/>
                <w:szCs w:val="18"/>
                <w:lang w:val="en-US" w:eastAsia="zh-CN"/>
              </w:rPr>
              <w:t>前后：0.063</w:t>
            </w:r>
          </w:p>
        </w:tc>
        <w:tc>
          <w:tcPr>
            <w:tcW w:w="1280" w:type="dxa"/>
            <w:shd w:val="clear" w:color="auto" w:fill="FFFFFF"/>
            <w:noWrap w:val="0"/>
            <w:vAlign w:val="center"/>
          </w:tcPr>
          <w:p>
            <w:pPr>
              <w:pStyle w:val="27"/>
              <w:numPr>
                <w:ilvl w:val="0"/>
                <w:numId w:val="0"/>
              </w:numPr>
              <w:tabs>
                <w:tab w:val="clear" w:pos="0"/>
                <w:tab w:val="clear" w:pos="283"/>
              </w:tabs>
              <w:ind w:leftChars="0"/>
              <w:jc w:val="center"/>
              <w:rPr>
                <w:rFonts w:hint="default"/>
                <w:color w:val="auto"/>
                <w:sz w:val="18"/>
                <w:szCs w:val="18"/>
                <w:lang w:val="en-US" w:eastAsia="zh-CN"/>
              </w:rPr>
            </w:pPr>
            <w:r>
              <w:rPr>
                <w:rFonts w:hint="eastAsia"/>
                <w:color w:val="auto"/>
                <w:sz w:val="18"/>
                <w:szCs w:val="18"/>
                <w:lang w:val="en-US" w:eastAsia="zh-CN"/>
              </w:rPr>
              <w:t>左右：0.135</w:t>
            </w:r>
          </w:p>
          <w:p>
            <w:pPr>
              <w:pStyle w:val="27"/>
              <w:numPr>
                <w:ilvl w:val="0"/>
                <w:numId w:val="0"/>
              </w:numPr>
              <w:tabs>
                <w:tab w:val="clear" w:pos="0"/>
                <w:tab w:val="clear" w:pos="283"/>
              </w:tabs>
              <w:ind w:leftChars="0"/>
              <w:jc w:val="center"/>
              <w:rPr>
                <w:rFonts w:hint="eastAsia"/>
                <w:color w:val="auto"/>
                <w:sz w:val="18"/>
                <w:szCs w:val="18"/>
                <w:lang w:val="en-US" w:eastAsia="zh-CN"/>
              </w:rPr>
            </w:pPr>
            <w:r>
              <w:rPr>
                <w:rFonts w:hint="eastAsia"/>
                <w:color w:val="auto"/>
                <w:sz w:val="18"/>
                <w:szCs w:val="18"/>
                <w:lang w:val="en-US" w:eastAsia="zh-CN"/>
              </w:rPr>
              <w:t>前后：0.046</w:t>
            </w:r>
          </w:p>
        </w:tc>
        <w:tc>
          <w:tcPr>
            <w:tcW w:w="1466" w:type="dxa"/>
            <w:shd w:val="clear" w:color="auto" w:fill="auto"/>
            <w:noWrap w:val="0"/>
            <w:vAlign w:val="center"/>
          </w:tcPr>
          <w:p>
            <w:pPr>
              <w:pStyle w:val="27"/>
              <w:numPr>
                <w:ilvl w:val="0"/>
                <w:numId w:val="0"/>
              </w:numPr>
              <w:tabs>
                <w:tab w:val="clear" w:pos="0"/>
                <w:tab w:val="clear" w:pos="283"/>
              </w:tabs>
              <w:ind w:leftChars="0"/>
              <w:jc w:val="center"/>
              <w:rPr>
                <w:rFonts w:hint="default"/>
                <w:color w:val="auto"/>
                <w:sz w:val="18"/>
                <w:szCs w:val="18"/>
                <w:lang w:val="en-US" w:eastAsia="zh-CN"/>
              </w:rPr>
            </w:pPr>
            <w:r>
              <w:rPr>
                <w:rFonts w:hint="eastAsia"/>
                <w:color w:val="auto"/>
                <w:sz w:val="18"/>
                <w:szCs w:val="18"/>
                <w:lang w:val="en-US" w:eastAsia="zh-CN"/>
              </w:rPr>
              <w:t>左右：0.135</w:t>
            </w:r>
          </w:p>
          <w:p>
            <w:pPr>
              <w:pStyle w:val="27"/>
              <w:numPr>
                <w:ilvl w:val="0"/>
                <w:numId w:val="0"/>
              </w:numPr>
              <w:tabs>
                <w:tab w:val="clear" w:pos="0"/>
                <w:tab w:val="clear" w:pos="283"/>
              </w:tabs>
              <w:ind w:leftChars="0"/>
              <w:jc w:val="center"/>
              <w:rPr>
                <w:rFonts w:hint="default"/>
                <w:color w:val="auto"/>
                <w:sz w:val="18"/>
                <w:szCs w:val="18"/>
                <w:lang w:val="en-US" w:eastAsia="zh-CN"/>
              </w:rPr>
            </w:pPr>
            <w:r>
              <w:rPr>
                <w:rFonts w:hint="eastAsia"/>
                <w:color w:val="auto"/>
                <w:sz w:val="18"/>
                <w:szCs w:val="18"/>
                <w:lang w:val="en-US" w:eastAsia="zh-CN"/>
              </w:rPr>
              <w:t>前后：0.046</w:t>
            </w:r>
          </w:p>
        </w:tc>
        <w:tc>
          <w:tcPr>
            <w:tcW w:w="1254" w:type="dxa"/>
            <w:vMerge w:val="continue"/>
            <w:shd w:val="clear" w:color="auto" w:fill="FFFFFF"/>
            <w:noWrap w:val="0"/>
            <w:vAlign w:val="center"/>
          </w:tcPr>
          <w:p>
            <w:pPr>
              <w:jc w:val="left"/>
              <w:rPr>
                <w:rFonts w:hint="default" w:ascii="宋体" w:hAnsi="宋体" w:eastAsia="宋体" w:cs="宋体"/>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trPr>
        <w:tc>
          <w:tcPr>
            <w:tcW w:w="650" w:type="dxa"/>
            <w:vMerge w:val="continue"/>
            <w:shd w:val="clear" w:color="auto" w:fill="FFFFFF"/>
            <w:noWrap w:val="0"/>
            <w:vAlign w:val="center"/>
          </w:tcPr>
          <w:p>
            <w:pPr>
              <w:jc w:val="center"/>
              <w:rPr>
                <w:rFonts w:hint="eastAsia" w:ascii="宋体" w:hAnsi="宋体" w:eastAsia="宋体" w:cs="宋体"/>
                <w:color w:val="auto"/>
                <w:sz w:val="18"/>
                <w:szCs w:val="18"/>
              </w:rPr>
            </w:pPr>
          </w:p>
        </w:tc>
        <w:tc>
          <w:tcPr>
            <w:tcW w:w="707" w:type="dxa"/>
            <w:gridSpan w:val="2"/>
            <w:vMerge w:val="continue"/>
            <w:shd w:val="clear" w:color="auto" w:fill="FFFFFF"/>
            <w:noWrap w:val="0"/>
            <w:vAlign w:val="center"/>
          </w:tcPr>
          <w:p>
            <w:pPr>
              <w:jc w:val="left"/>
              <w:rPr>
                <w:rFonts w:hint="eastAsia" w:ascii="宋体" w:hAnsi="宋体" w:eastAsia="宋体" w:cs="宋体"/>
                <w:color w:val="auto"/>
                <w:sz w:val="18"/>
                <w:szCs w:val="18"/>
              </w:rPr>
            </w:pPr>
          </w:p>
        </w:tc>
        <w:tc>
          <w:tcPr>
            <w:tcW w:w="1223" w:type="dxa"/>
            <w:shd w:val="clear" w:color="auto" w:fill="FFFFFF"/>
            <w:noWrap w:val="0"/>
            <w:vAlign w:val="center"/>
          </w:tcPr>
          <w:p>
            <w:pPr>
              <w:jc w:val="left"/>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垂直度，mm</w:t>
            </w:r>
          </w:p>
        </w:tc>
        <w:tc>
          <w:tcPr>
            <w:tcW w:w="1353" w:type="dxa"/>
            <w:shd w:val="clear" w:color="auto" w:fill="FFFFFF"/>
            <w:noWrap w:val="0"/>
            <w:vAlign w:val="center"/>
          </w:tcPr>
          <w:p>
            <w:pPr>
              <w:pStyle w:val="27"/>
              <w:numPr>
                <w:ilvl w:val="0"/>
                <w:numId w:val="0"/>
              </w:numPr>
              <w:tabs>
                <w:tab w:val="clear" w:pos="0"/>
                <w:tab w:val="clear" w:pos="283"/>
              </w:tabs>
              <w:ind w:leftChars="0"/>
              <w:jc w:val="center"/>
              <w:rPr>
                <w:rFonts w:hint="default" w:ascii="宋体" w:hAnsi="宋体" w:eastAsia="宋体" w:cs="宋体"/>
                <w:color w:val="auto"/>
                <w:sz w:val="18"/>
                <w:szCs w:val="18"/>
                <w:lang w:val="en-US" w:eastAsia="zh-CN"/>
              </w:rPr>
            </w:pPr>
            <w:r>
              <w:rPr>
                <w:rFonts w:hint="eastAsia" w:hAnsi="宋体" w:cs="宋体"/>
                <w:color w:val="auto"/>
                <w:sz w:val="18"/>
                <w:szCs w:val="18"/>
                <w:lang w:val="en-US" w:eastAsia="zh-CN"/>
              </w:rPr>
              <w:t>0.088</w:t>
            </w:r>
          </w:p>
        </w:tc>
        <w:tc>
          <w:tcPr>
            <w:tcW w:w="1164" w:type="dxa"/>
            <w:shd w:val="clear" w:color="auto" w:fill="FFFFFF"/>
            <w:noWrap w:val="0"/>
            <w:vAlign w:val="center"/>
          </w:tcPr>
          <w:p>
            <w:pPr>
              <w:pStyle w:val="27"/>
              <w:numPr>
                <w:ilvl w:val="0"/>
                <w:numId w:val="0"/>
              </w:numPr>
              <w:tabs>
                <w:tab w:val="clear" w:pos="0"/>
                <w:tab w:val="clear" w:pos="283"/>
              </w:tabs>
              <w:ind w:leftChars="0"/>
              <w:jc w:val="center"/>
              <w:rPr>
                <w:rFonts w:hint="default" w:ascii="宋体" w:hAnsi="宋体" w:eastAsia="宋体" w:cs="宋体"/>
                <w:color w:val="auto"/>
                <w:sz w:val="18"/>
                <w:szCs w:val="18"/>
                <w:lang w:val="en-US" w:eastAsia="zh-CN"/>
              </w:rPr>
            </w:pPr>
            <w:r>
              <w:rPr>
                <w:rFonts w:hint="eastAsia" w:hAnsi="宋体" w:cs="宋体"/>
                <w:color w:val="auto"/>
                <w:sz w:val="18"/>
                <w:szCs w:val="18"/>
                <w:lang w:val="en-US" w:eastAsia="zh-CN"/>
              </w:rPr>
              <w:t>0.039</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
                <w:sz w:val="18"/>
                <w:szCs w:val="18"/>
                <w:lang w:val="en-US" w:eastAsia="zh-CN" w:bidi="ar-SA"/>
              </w:rPr>
            </w:pPr>
            <w:r>
              <w:rPr>
                <w:rFonts w:hint="default" w:ascii="宋体" w:hAnsi="宋体" w:eastAsia="宋体" w:cs="宋体"/>
                <w:color w:val="auto"/>
                <w:kern w:val="0"/>
                <w:sz w:val="18"/>
                <w:szCs w:val="18"/>
                <w:lang w:val="en-US" w:eastAsia="zh-CN" w:bidi="ar-SA"/>
              </w:rPr>
              <w:t>0.0</w:t>
            </w:r>
            <w:r>
              <w:rPr>
                <w:rFonts w:hint="eastAsia" w:ascii="宋体" w:hAnsi="宋体" w:eastAsia="宋体" w:cs="宋体"/>
                <w:color w:val="auto"/>
                <w:kern w:val="0"/>
                <w:sz w:val="18"/>
                <w:szCs w:val="18"/>
                <w:lang w:val="en-US" w:eastAsia="zh-CN" w:bidi="ar-SA"/>
              </w:rPr>
              <w:t>37</w:t>
            </w:r>
          </w:p>
        </w:tc>
        <w:tc>
          <w:tcPr>
            <w:tcW w:w="1466" w:type="dxa"/>
            <w:shd w:val="clear" w:color="auto" w:fill="auto"/>
            <w:noWrap w:val="0"/>
            <w:vAlign w:val="center"/>
          </w:tcPr>
          <w:p>
            <w:pPr>
              <w:pStyle w:val="6"/>
              <w:keepNext w:val="0"/>
              <w:keepLines w:val="0"/>
              <w:widowControl/>
              <w:suppressLineNumbers w:val="0"/>
              <w:ind w:left="0" w:leftChars="0" w:right="0" w:rightChars="0"/>
              <w:jc w:val="center"/>
              <w:rPr>
                <w:rFonts w:hint="default" w:ascii="宋体" w:hAnsi="宋体" w:eastAsia="宋体" w:cs="宋体"/>
                <w:color w:val="auto"/>
                <w:kern w:val="0"/>
                <w:sz w:val="18"/>
                <w:szCs w:val="18"/>
                <w:lang w:val="en-US" w:eastAsia="zh-CN" w:bidi="ar-SA"/>
              </w:rPr>
            </w:pPr>
            <w:r>
              <w:rPr>
                <w:rFonts w:hint="default" w:ascii="宋体" w:hAnsi="宋体" w:eastAsia="宋体" w:cs="宋体"/>
                <w:color w:val="auto"/>
                <w:kern w:val="0"/>
                <w:sz w:val="18"/>
                <w:szCs w:val="18"/>
                <w:lang w:val="en-US" w:eastAsia="zh-CN" w:bidi="ar-SA"/>
              </w:rPr>
              <w:t>0.0</w:t>
            </w:r>
            <w:r>
              <w:rPr>
                <w:rFonts w:hint="eastAsia" w:ascii="宋体" w:hAnsi="宋体" w:eastAsia="宋体" w:cs="宋体"/>
                <w:color w:val="auto"/>
                <w:kern w:val="0"/>
                <w:sz w:val="18"/>
                <w:szCs w:val="18"/>
                <w:lang w:val="en-US" w:eastAsia="zh-CN" w:bidi="ar-SA"/>
              </w:rPr>
              <w:t>37</w:t>
            </w:r>
          </w:p>
        </w:tc>
        <w:tc>
          <w:tcPr>
            <w:tcW w:w="1254" w:type="dxa"/>
            <w:vMerge w:val="continue"/>
            <w:shd w:val="clear" w:color="auto" w:fill="FFFFFF"/>
            <w:noWrap w:val="0"/>
            <w:vAlign w:val="center"/>
          </w:tcPr>
          <w:p>
            <w:pPr>
              <w:jc w:val="left"/>
              <w:rPr>
                <w:rFonts w:hint="default" w:ascii="宋体" w:hAnsi="宋体" w:eastAsia="宋体" w:cs="宋体"/>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650" w:type="dxa"/>
            <w:vMerge w:val="continue"/>
            <w:shd w:val="clear" w:color="auto" w:fill="FFFFFF"/>
            <w:noWrap w:val="0"/>
            <w:vAlign w:val="center"/>
          </w:tcPr>
          <w:p>
            <w:pPr>
              <w:jc w:val="center"/>
              <w:rPr>
                <w:rFonts w:hint="eastAsia" w:ascii="宋体" w:hAnsi="宋体" w:eastAsia="宋体" w:cs="宋体"/>
                <w:color w:val="auto"/>
                <w:sz w:val="18"/>
                <w:szCs w:val="18"/>
              </w:rPr>
            </w:pPr>
          </w:p>
        </w:tc>
        <w:tc>
          <w:tcPr>
            <w:tcW w:w="707" w:type="dxa"/>
            <w:gridSpan w:val="2"/>
            <w:vMerge w:val="continue"/>
            <w:shd w:val="clear" w:color="auto" w:fill="FFFFFF"/>
            <w:noWrap w:val="0"/>
            <w:vAlign w:val="center"/>
          </w:tcPr>
          <w:p>
            <w:pPr>
              <w:jc w:val="left"/>
              <w:rPr>
                <w:rFonts w:hint="eastAsia" w:ascii="宋体" w:hAnsi="宋体" w:eastAsia="宋体" w:cs="宋体"/>
                <w:color w:val="auto"/>
                <w:sz w:val="18"/>
                <w:szCs w:val="18"/>
              </w:rPr>
            </w:pPr>
          </w:p>
        </w:tc>
        <w:tc>
          <w:tcPr>
            <w:tcW w:w="1223" w:type="dxa"/>
            <w:shd w:val="clear" w:color="auto" w:fill="FFFFFF"/>
            <w:noWrap w:val="0"/>
            <w:vAlign w:val="center"/>
          </w:tcPr>
          <w:p>
            <w:pPr>
              <w:jc w:val="left"/>
              <w:rPr>
                <w:rFonts w:hint="eastAsia" w:ascii="宋体" w:hAnsi="宋体" w:eastAsia="宋体" w:cs="宋体"/>
                <w:color w:val="auto"/>
                <w:sz w:val="18"/>
                <w:szCs w:val="18"/>
              </w:rPr>
            </w:pPr>
            <w:r>
              <w:rPr>
                <w:rFonts w:hint="eastAsia" w:ascii="宋体" w:hAnsi="宋体" w:eastAsia="宋体" w:cs="宋体"/>
                <w:color w:val="auto"/>
                <w:sz w:val="18"/>
                <w:szCs w:val="18"/>
              </w:rPr>
              <w:t>综合间隙，mm</w:t>
            </w:r>
          </w:p>
        </w:tc>
        <w:tc>
          <w:tcPr>
            <w:tcW w:w="1353" w:type="dxa"/>
            <w:shd w:val="clear" w:color="auto" w:fill="FFFFFF"/>
            <w:noWrap w:val="0"/>
            <w:vAlign w:val="center"/>
          </w:tcPr>
          <w:p>
            <w:pPr>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0.76</w:t>
            </w:r>
          </w:p>
        </w:tc>
        <w:tc>
          <w:tcPr>
            <w:tcW w:w="1164" w:type="dxa"/>
            <w:shd w:val="clear" w:color="auto" w:fill="FFFFFF"/>
            <w:noWrap w:val="0"/>
            <w:vAlign w:val="center"/>
          </w:tcPr>
          <w:p>
            <w:pPr>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0.44</w:t>
            </w:r>
          </w:p>
        </w:tc>
        <w:tc>
          <w:tcPr>
            <w:tcW w:w="1280" w:type="dxa"/>
            <w:shd w:val="clear" w:color="auto" w:fill="FFFFFF"/>
            <w:noWrap w:val="0"/>
            <w:vAlign w:val="center"/>
          </w:tcPr>
          <w:p>
            <w:pPr>
              <w:jc w:val="center"/>
              <w:rPr>
                <w:rFonts w:hint="default" w:ascii="宋体" w:hAnsi="宋体" w:eastAsia="宋体" w:cs="宋体"/>
                <w:color w:val="auto"/>
                <w:sz w:val="18"/>
                <w:szCs w:val="18"/>
                <w:lang w:val="en-US" w:eastAsia="zh-CN"/>
              </w:rPr>
            </w:pPr>
            <w:r>
              <w:rPr>
                <w:rFonts w:hint="eastAsia" w:ascii="宋体" w:hAnsi="宋体" w:eastAsia="宋体" w:cs="宋体"/>
                <w:color w:val="auto"/>
                <w:kern w:val="0"/>
                <w:sz w:val="18"/>
                <w:szCs w:val="18"/>
                <w:lang w:val="en-US" w:eastAsia="zh-CN" w:bidi="ar-SA"/>
              </w:rPr>
              <w:t>0.37</w:t>
            </w:r>
          </w:p>
        </w:tc>
        <w:tc>
          <w:tcPr>
            <w:tcW w:w="1466" w:type="dxa"/>
            <w:shd w:val="clear" w:color="auto" w:fill="auto"/>
            <w:noWrap w:val="0"/>
            <w:vAlign w:val="center"/>
          </w:tcPr>
          <w:p>
            <w:pPr>
              <w:jc w:val="center"/>
              <w:rPr>
                <w:rFonts w:hint="default"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bidi="ar-SA"/>
              </w:rPr>
              <w:t>0.37</w:t>
            </w:r>
          </w:p>
        </w:tc>
        <w:tc>
          <w:tcPr>
            <w:tcW w:w="1254" w:type="dxa"/>
            <w:vMerge w:val="continue"/>
            <w:shd w:val="clear" w:color="auto" w:fill="FFFFFF"/>
            <w:noWrap w:val="0"/>
            <w:vAlign w:val="center"/>
          </w:tcPr>
          <w:p>
            <w:pPr>
              <w:jc w:val="left"/>
              <w:rPr>
                <w:rFonts w:hint="default" w:ascii="宋体" w:hAnsi="宋体" w:eastAsia="宋体" w:cs="宋体"/>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blHeader/>
        </w:trPr>
        <w:tc>
          <w:tcPr>
            <w:tcW w:w="650" w:type="dxa"/>
            <w:shd w:val="clear" w:color="auto" w:fill="FFFFFF"/>
            <w:noWrap w:val="0"/>
            <w:vAlign w:val="center"/>
          </w:tcPr>
          <w:p>
            <w:pPr>
              <w:jc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rPr>
              <w:t>适用性</w:t>
            </w:r>
          </w:p>
        </w:tc>
        <w:tc>
          <w:tcPr>
            <w:tcW w:w="1930" w:type="dxa"/>
            <w:gridSpan w:val="3"/>
            <w:shd w:val="clear" w:color="auto" w:fill="FFFFFF"/>
            <w:noWrap w:val="0"/>
            <w:vAlign w:val="center"/>
          </w:tcPr>
          <w:p>
            <w:pPr>
              <w:pStyle w:val="14"/>
              <w:ind w:firstLine="0" w:firstLineChars="0"/>
              <w:jc w:val="both"/>
              <w:rPr>
                <w:rFonts w:hint="eastAsia" w:ascii="宋体" w:hAnsi="Times New Roman" w:eastAsia="宋体" w:cs="Times New Roman"/>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下死点动态重复精度</w:t>
            </w:r>
            <w:r>
              <w:rPr>
                <w:rFonts w:hint="eastAsia" w:hAnsi="宋体" w:eastAsia="宋体" w:cs="宋体"/>
                <w:color w:val="auto"/>
                <w:sz w:val="18"/>
                <w:szCs w:val="18"/>
                <w:highlight w:val="none"/>
                <w:lang w:val="en-US" w:eastAsia="zh-CN"/>
              </w:rPr>
              <w:t>，</w:t>
            </w:r>
            <w:r>
              <w:rPr>
                <w:rFonts w:hint="eastAsia" w:ascii="宋体" w:hAnsi="宋体" w:eastAsia="宋体" w:cs="宋体"/>
                <w:color w:val="auto"/>
                <w:sz w:val="18"/>
                <w:szCs w:val="18"/>
              </w:rPr>
              <w:t>mm</w:t>
            </w:r>
          </w:p>
        </w:tc>
        <w:tc>
          <w:tcPr>
            <w:tcW w:w="1353"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1"/>
                <w:sz w:val="18"/>
                <w:szCs w:val="18"/>
                <w:lang w:val="en-US" w:eastAsia="zh-CN" w:bidi="ar-SA"/>
              </w:rPr>
            </w:pPr>
            <w:r>
              <w:rPr>
                <w:rFonts w:hint="eastAsia" w:ascii="宋体" w:hAnsi="宋体" w:eastAsia="宋体" w:cs="宋体"/>
                <w:color w:val="auto"/>
                <w:sz w:val="18"/>
                <w:szCs w:val="18"/>
                <w:lang w:val="en-US" w:eastAsia="zh-CN"/>
              </w:rPr>
              <w:t>/</w:t>
            </w:r>
          </w:p>
        </w:tc>
        <w:tc>
          <w:tcPr>
            <w:tcW w:w="1164"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1"/>
                <w:sz w:val="18"/>
                <w:szCs w:val="18"/>
                <w:lang w:val="en-US" w:eastAsia="zh-CN" w:bidi="ar-SA"/>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1"/>
                <w:sz w:val="18"/>
                <w:szCs w:val="18"/>
                <w:lang w:val="en-US" w:eastAsia="zh-CN" w:bidi="ar-SA"/>
              </w:rPr>
            </w:pPr>
            <w:r>
              <w:rPr>
                <w:rFonts w:hint="default" w:ascii="宋体" w:hAnsi="宋体" w:eastAsia="宋体" w:cs="宋体"/>
                <w:color w:val="auto"/>
                <w:kern w:val="0"/>
                <w:sz w:val="18"/>
                <w:szCs w:val="18"/>
                <w:lang w:val="en-US" w:eastAsia="zh-CN" w:bidi="ar-SA"/>
              </w:rPr>
              <w:t>0.02</w:t>
            </w:r>
          </w:p>
        </w:tc>
        <w:tc>
          <w:tcPr>
            <w:tcW w:w="1466" w:type="dxa"/>
            <w:shd w:val="clear" w:color="auto" w:fill="auto"/>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1"/>
                <w:sz w:val="18"/>
                <w:szCs w:val="18"/>
                <w:lang w:val="en-US" w:eastAsia="zh-CN" w:bidi="ar-SA"/>
              </w:rPr>
            </w:pPr>
            <w:r>
              <w:rPr>
                <w:rFonts w:hint="eastAsia" w:ascii="宋体" w:hAnsi="宋体" w:eastAsia="宋体" w:cs="宋体"/>
                <w:color w:val="auto"/>
                <w:sz w:val="18"/>
                <w:szCs w:val="18"/>
                <w:lang w:val="en-US" w:eastAsia="zh-CN"/>
              </w:rPr>
              <w:t>0.0</w:t>
            </w:r>
            <w:r>
              <w:rPr>
                <w:rFonts w:hint="eastAsia" w:hAnsi="宋体" w:cs="宋体"/>
                <w:color w:val="auto"/>
                <w:sz w:val="18"/>
                <w:szCs w:val="18"/>
                <w:lang w:val="en-US" w:eastAsia="zh-CN"/>
              </w:rPr>
              <w:t>2</w:t>
            </w:r>
          </w:p>
        </w:tc>
        <w:tc>
          <w:tcPr>
            <w:tcW w:w="1254" w:type="dxa"/>
            <w:shd w:val="clear" w:color="auto" w:fill="FFFFFF"/>
            <w:noWrap w:val="0"/>
            <w:vAlign w:val="center"/>
          </w:tcPr>
          <w:p>
            <w:pPr>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0"/>
                <w:sz w:val="18"/>
                <w:szCs w:val="18"/>
                <w:lang w:val="en-US" w:eastAsia="zh-CN"/>
              </w:rPr>
              <w:t>有利于产品性能稳定，提升模具使用寿命和提升产品加工精度。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trPr>
        <w:tc>
          <w:tcPr>
            <w:tcW w:w="650" w:type="dxa"/>
            <w:shd w:val="clear" w:color="auto" w:fill="FFFFFF"/>
            <w:noWrap w:val="0"/>
            <w:vAlign w:val="center"/>
          </w:tcPr>
          <w:p>
            <w:pPr>
              <w:jc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kern w:val="0"/>
                <w:sz w:val="18"/>
                <w:szCs w:val="18"/>
                <w:lang w:val="en-US" w:eastAsia="zh-CN"/>
              </w:rPr>
              <w:t>适用性</w:t>
            </w:r>
          </w:p>
        </w:tc>
        <w:tc>
          <w:tcPr>
            <w:tcW w:w="1930" w:type="dxa"/>
            <w:gridSpan w:val="3"/>
            <w:shd w:val="clear" w:color="auto" w:fill="FFFFFF"/>
            <w:noWrap w:val="0"/>
            <w:vAlign w:val="center"/>
          </w:tcPr>
          <w:p>
            <w:pPr>
              <w:pStyle w:val="14"/>
              <w:ind w:firstLine="0" w:firstLineChars="0"/>
              <w:jc w:val="both"/>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工作台刚性</w:t>
            </w:r>
          </w:p>
        </w:tc>
        <w:tc>
          <w:tcPr>
            <w:tcW w:w="1353"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1/</w:t>
            </w:r>
            <w:r>
              <w:rPr>
                <w:rFonts w:hint="eastAsia" w:hAnsi="宋体" w:cs="宋体"/>
                <w:color w:val="auto"/>
                <w:kern w:val="2"/>
                <w:sz w:val="18"/>
                <w:szCs w:val="18"/>
                <w:lang w:val="en-US" w:eastAsia="zh-CN" w:bidi="ar-SA"/>
              </w:rPr>
              <w:t>6</w:t>
            </w:r>
            <w:r>
              <w:rPr>
                <w:rFonts w:hint="eastAsia" w:ascii="宋体" w:hAnsi="宋体" w:eastAsia="宋体" w:cs="宋体"/>
                <w:color w:val="auto"/>
                <w:kern w:val="2"/>
                <w:sz w:val="18"/>
                <w:szCs w:val="18"/>
                <w:lang w:val="en-US" w:eastAsia="zh-CN" w:bidi="ar-SA"/>
              </w:rPr>
              <w:t>000</w:t>
            </w:r>
          </w:p>
        </w:tc>
        <w:tc>
          <w:tcPr>
            <w:tcW w:w="1164" w:type="dxa"/>
            <w:shd w:val="clear" w:color="auto" w:fill="FFFFFF"/>
            <w:noWrap w:val="0"/>
            <w:vAlign w:val="center"/>
          </w:tcPr>
          <w:p>
            <w:pPr>
              <w:numPr>
                <w:ilvl w:val="0"/>
                <w:numId w:val="0"/>
              </w:numPr>
              <w:ind w:left="0" w:leftChars="0" w:firstLine="0" w:firstLineChars="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1/8000</w:t>
            </w:r>
          </w:p>
        </w:tc>
        <w:tc>
          <w:tcPr>
            <w:tcW w:w="1466" w:type="dxa"/>
            <w:shd w:val="clear" w:color="auto" w:fill="auto"/>
            <w:noWrap w:val="0"/>
            <w:vAlign w:val="center"/>
          </w:tcPr>
          <w:p>
            <w:pPr>
              <w:pStyle w:val="6"/>
              <w:keepNext w:val="0"/>
              <w:keepLines w:val="0"/>
              <w:widowControl/>
              <w:suppressLineNumbers w:val="0"/>
              <w:ind w:left="0" w:leftChars="0" w:right="0" w:rightChars="0"/>
              <w:jc w:val="center"/>
              <w:rPr>
                <w:rFonts w:hint="eastAsia" w:ascii="宋体" w:hAnsi="宋体" w:eastAsia="宋体" w:cs="宋体"/>
                <w:color w:val="auto"/>
                <w:kern w:val="0"/>
                <w:sz w:val="18"/>
                <w:szCs w:val="18"/>
                <w:lang w:val="en-US" w:eastAsia="zh-CN" w:bidi="ar-SA"/>
              </w:rPr>
            </w:pPr>
            <w:r>
              <w:rPr>
                <w:rFonts w:hint="default" w:ascii="宋体" w:hAnsi="宋体" w:eastAsia="宋体" w:cs="宋体"/>
                <w:color w:val="auto"/>
                <w:kern w:val="0"/>
                <w:sz w:val="18"/>
                <w:szCs w:val="18"/>
                <w:lang w:val="en-US" w:eastAsia="zh-CN" w:bidi="ar-SA"/>
              </w:rPr>
              <w:t>1/</w:t>
            </w:r>
            <w:r>
              <w:rPr>
                <w:rFonts w:hint="eastAsia" w:ascii="宋体" w:hAnsi="宋体" w:eastAsia="宋体" w:cs="宋体"/>
                <w:color w:val="auto"/>
                <w:kern w:val="0"/>
                <w:sz w:val="18"/>
                <w:szCs w:val="18"/>
                <w:lang w:val="en-US" w:eastAsia="zh-CN" w:bidi="ar-SA"/>
              </w:rPr>
              <w:t>9</w:t>
            </w:r>
            <w:r>
              <w:rPr>
                <w:rFonts w:hint="default" w:ascii="宋体" w:hAnsi="宋体" w:eastAsia="宋体" w:cs="宋体"/>
                <w:color w:val="auto"/>
                <w:kern w:val="0"/>
                <w:sz w:val="18"/>
                <w:szCs w:val="18"/>
                <w:lang w:val="en-US" w:eastAsia="zh-CN" w:bidi="ar-SA"/>
              </w:rPr>
              <w:t>000</w:t>
            </w:r>
          </w:p>
        </w:tc>
        <w:tc>
          <w:tcPr>
            <w:tcW w:w="1254" w:type="dxa"/>
            <w:shd w:val="clear" w:color="auto" w:fill="FFFFFF"/>
            <w:noWrap w:val="0"/>
            <w:vAlign w:val="center"/>
          </w:tcPr>
          <w:p>
            <w:pPr>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0"/>
                <w:sz w:val="18"/>
                <w:szCs w:val="18"/>
                <w:lang w:val="en-US" w:eastAsia="zh-CN"/>
              </w:rPr>
              <w:t>有利于产品性能稳定，提升模具使用寿命和提升产品加工精度。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blHeader/>
        </w:trPr>
        <w:tc>
          <w:tcPr>
            <w:tcW w:w="650" w:type="dxa"/>
            <w:shd w:val="clear" w:color="auto" w:fill="FFFFFF"/>
            <w:noWrap w:val="0"/>
            <w:vAlign w:val="center"/>
          </w:tcPr>
          <w:p>
            <w:pPr>
              <w:adjustRightInd w:val="0"/>
              <w:snapToGrid w:val="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0"/>
                <w:sz w:val="18"/>
                <w:szCs w:val="18"/>
                <w:lang w:val="en-US" w:eastAsia="zh-CN"/>
              </w:rPr>
              <w:t>高效性</w:t>
            </w:r>
          </w:p>
        </w:tc>
        <w:tc>
          <w:tcPr>
            <w:tcW w:w="1930" w:type="dxa"/>
            <w:gridSpan w:val="3"/>
            <w:shd w:val="clear" w:color="auto" w:fill="FFFFFF"/>
            <w:noWrap w:val="0"/>
            <w:vAlign w:val="center"/>
          </w:tcPr>
          <w:p>
            <w:pPr>
              <w:adjustRightInd w:val="0"/>
              <w:snapToGrid w:val="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rPr>
              <w:t>行程次数</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highlight w:val="none"/>
              </w:rPr>
              <w:t>次/min</w:t>
            </w:r>
          </w:p>
        </w:tc>
        <w:tc>
          <w:tcPr>
            <w:tcW w:w="1353"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1"/>
                <w:sz w:val="18"/>
                <w:szCs w:val="18"/>
                <w:lang w:val="en-US" w:eastAsia="zh-CN" w:bidi="ar-SA"/>
              </w:rPr>
            </w:pPr>
            <w:r>
              <w:rPr>
                <w:rFonts w:hint="eastAsia" w:hAnsi="宋体" w:cs="宋体"/>
                <w:color w:val="auto"/>
                <w:sz w:val="18"/>
                <w:szCs w:val="18"/>
                <w:lang w:val="en-US" w:eastAsia="zh-CN"/>
              </w:rPr>
              <w:t>20</w:t>
            </w:r>
            <w:r>
              <w:rPr>
                <w:rFonts w:hint="eastAsia" w:ascii="宋体" w:hAnsi="宋体" w:eastAsia="宋体" w:cs="宋体"/>
                <w:color w:val="auto"/>
                <w:sz w:val="18"/>
                <w:szCs w:val="18"/>
              </w:rPr>
              <w:t>～</w:t>
            </w:r>
            <w:r>
              <w:rPr>
                <w:rFonts w:hint="eastAsia" w:hAnsi="宋体" w:cs="宋体"/>
                <w:color w:val="auto"/>
                <w:sz w:val="18"/>
                <w:szCs w:val="18"/>
                <w:lang w:val="en-US" w:eastAsia="zh-CN"/>
              </w:rPr>
              <w:t>28</w:t>
            </w:r>
          </w:p>
        </w:tc>
        <w:tc>
          <w:tcPr>
            <w:tcW w:w="1164" w:type="dxa"/>
            <w:shd w:val="clear" w:color="auto" w:fill="FFFFFF"/>
            <w:noWrap w:val="0"/>
            <w:vAlign w:val="center"/>
          </w:tcPr>
          <w:p>
            <w:pPr>
              <w:numPr>
                <w:ilvl w:val="0"/>
                <w:numId w:val="0"/>
              </w:numPr>
              <w:ind w:left="0" w:leftChars="0" w:firstLine="0" w:firstLineChars="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adjustRightInd w:val="0"/>
              <w:snapToGrid w:val="0"/>
              <w:jc w:val="center"/>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40-</w:t>
            </w:r>
            <w:r>
              <w:rPr>
                <w:rFonts w:hint="eastAsia" w:ascii="宋体" w:hAnsi="宋体" w:eastAsia="宋体" w:cs="宋体"/>
                <w:color w:val="auto"/>
                <w:sz w:val="18"/>
                <w:szCs w:val="18"/>
                <w:lang w:val="en-US" w:eastAsia="zh-CN"/>
              </w:rPr>
              <w:t>9</w:t>
            </w:r>
            <w:r>
              <w:rPr>
                <w:rFonts w:hint="eastAsia" w:ascii="宋体" w:hAnsi="宋体" w:eastAsia="宋体" w:cs="宋体"/>
                <w:color w:val="auto"/>
                <w:sz w:val="18"/>
                <w:szCs w:val="18"/>
              </w:rPr>
              <w:t>0</w:t>
            </w:r>
          </w:p>
        </w:tc>
        <w:tc>
          <w:tcPr>
            <w:tcW w:w="1466" w:type="dxa"/>
            <w:shd w:val="clear" w:color="auto" w:fill="auto"/>
            <w:noWrap w:val="0"/>
            <w:vAlign w:val="center"/>
          </w:tcPr>
          <w:p>
            <w:pPr>
              <w:numPr>
                <w:ilvl w:val="0"/>
                <w:numId w:val="0"/>
              </w:numPr>
              <w:ind w:left="0" w:leftChars="0" w:firstLine="0" w:firstLineChars="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rPr>
              <w:t>40～90</w:t>
            </w:r>
          </w:p>
        </w:tc>
        <w:tc>
          <w:tcPr>
            <w:tcW w:w="1254" w:type="dxa"/>
            <w:shd w:val="clear" w:color="auto" w:fill="FFFFFF"/>
            <w:noWrap w:val="0"/>
            <w:vAlign w:val="center"/>
          </w:tcPr>
          <w:p>
            <w:pPr>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提升效率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blHeader/>
        </w:trPr>
        <w:tc>
          <w:tcPr>
            <w:tcW w:w="65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安全性</w:t>
            </w:r>
          </w:p>
        </w:tc>
        <w:tc>
          <w:tcPr>
            <w:tcW w:w="1930" w:type="dxa"/>
            <w:gridSpan w:val="3"/>
            <w:shd w:val="clear" w:color="auto" w:fill="FFFFFF"/>
            <w:noWrap w:val="0"/>
            <w:vAlign w:val="center"/>
          </w:tcPr>
          <w:p>
            <w:pPr>
              <w:pStyle w:val="27"/>
              <w:numPr>
                <w:ilvl w:val="0"/>
                <w:numId w:val="0"/>
              </w:numPr>
              <w:tabs>
                <w:tab w:val="clear" w:pos="0"/>
                <w:tab w:val="clear" w:pos="283"/>
              </w:tabs>
              <w:ind w:left="0" w:leftChars="0" w:firstLine="0" w:firstLineChars="0"/>
              <w:jc w:val="both"/>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噪声</w:t>
            </w:r>
          </w:p>
        </w:tc>
        <w:tc>
          <w:tcPr>
            <w:tcW w:w="1353" w:type="dxa"/>
            <w:shd w:val="clear" w:color="auto" w:fill="FFFFFF"/>
            <w:noWrap w:val="0"/>
            <w:vAlign w:val="center"/>
          </w:tcPr>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连续空运转时≤</w:t>
            </w:r>
            <w:r>
              <w:rPr>
                <w:rFonts w:hint="eastAsia" w:hAnsi="宋体" w:cs="宋体"/>
                <w:color w:val="auto"/>
                <w:kern w:val="2"/>
                <w:sz w:val="18"/>
                <w:szCs w:val="18"/>
                <w:lang w:val="en-US" w:eastAsia="zh-CN" w:bidi="ar-SA"/>
              </w:rPr>
              <w:t>86</w:t>
            </w:r>
            <w:r>
              <w:rPr>
                <w:rFonts w:hint="eastAsia" w:ascii="宋体" w:hAnsi="宋体" w:eastAsia="宋体" w:cs="宋体"/>
                <w:color w:val="auto"/>
                <w:kern w:val="2"/>
                <w:sz w:val="18"/>
                <w:szCs w:val="18"/>
                <w:lang w:val="en-US" w:eastAsia="zh-CN" w:bidi="ar-SA"/>
              </w:rPr>
              <w:t>dB，</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sz w:val="18"/>
                <w:szCs w:val="18"/>
                <w:lang w:val="en-US" w:eastAsia="zh-CN"/>
              </w:rPr>
            </w:pPr>
            <w:r>
              <w:rPr>
                <w:rFonts w:hint="eastAsia" w:ascii="宋体" w:hAnsi="宋体" w:eastAsia="宋体" w:cs="宋体"/>
                <w:color w:val="auto"/>
                <w:kern w:val="2"/>
                <w:sz w:val="18"/>
                <w:szCs w:val="18"/>
                <w:lang w:val="en-US" w:eastAsia="zh-CN" w:bidi="ar-SA"/>
              </w:rPr>
              <w:t>空载单次行程时≤</w:t>
            </w:r>
            <w:r>
              <w:rPr>
                <w:rFonts w:hint="eastAsia" w:hAnsi="宋体" w:cs="宋体"/>
                <w:color w:val="auto"/>
                <w:kern w:val="2"/>
                <w:sz w:val="18"/>
                <w:szCs w:val="18"/>
                <w:lang w:val="en-US" w:eastAsia="zh-CN" w:bidi="ar-SA"/>
              </w:rPr>
              <w:t>95</w:t>
            </w:r>
            <w:r>
              <w:rPr>
                <w:rFonts w:hint="eastAsia" w:ascii="宋体" w:hAnsi="宋体" w:eastAsia="宋体" w:cs="宋体"/>
                <w:color w:val="auto"/>
                <w:kern w:val="2"/>
                <w:sz w:val="18"/>
                <w:szCs w:val="18"/>
                <w:lang w:val="en-US" w:eastAsia="zh-CN" w:bidi="ar-SA"/>
              </w:rPr>
              <w:t>dB</w:t>
            </w:r>
          </w:p>
        </w:tc>
        <w:tc>
          <w:tcPr>
            <w:tcW w:w="1164"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sz w:val="18"/>
                <w:szCs w:val="18"/>
                <w:lang w:val="en-US" w:eastAsia="zh-CN" w:bidi="ar-SA"/>
              </w:rPr>
            </w:pPr>
            <w:r>
              <w:rPr>
                <w:rFonts w:hint="eastAsia" w:ascii="宋体" w:hAnsi="宋体" w:eastAsia="宋体" w:cs="宋体"/>
                <w:color w:val="auto"/>
                <w:kern w:val="2"/>
                <w:sz w:val="18"/>
                <w:szCs w:val="18"/>
                <w:lang w:val="en-US" w:eastAsia="zh-CN" w:bidi="ar-SA"/>
              </w:rPr>
              <w:t>连续空运转时≤</w:t>
            </w:r>
            <w:r>
              <w:rPr>
                <w:rFonts w:hint="eastAsia" w:hAnsi="宋体" w:cs="宋体"/>
                <w:color w:val="auto"/>
                <w:kern w:val="2"/>
                <w:sz w:val="18"/>
                <w:szCs w:val="18"/>
                <w:lang w:val="en-US" w:eastAsia="zh-CN" w:bidi="ar-SA"/>
              </w:rPr>
              <w:t>86</w:t>
            </w:r>
            <w:r>
              <w:rPr>
                <w:rFonts w:hint="eastAsia" w:ascii="宋体" w:hAnsi="宋体" w:eastAsia="宋体" w:cs="宋体"/>
                <w:color w:val="auto"/>
                <w:kern w:val="2"/>
                <w:sz w:val="18"/>
                <w:szCs w:val="18"/>
                <w:lang w:val="en-US" w:eastAsia="zh-CN" w:bidi="ar-SA"/>
              </w:rPr>
              <w:t>dB</w:t>
            </w:r>
            <w:r>
              <w:rPr>
                <w:rFonts w:hint="eastAsia" w:hAnsi="宋体" w:cs="宋体"/>
                <w:color w:val="auto"/>
                <w:kern w:val="2"/>
                <w:sz w:val="18"/>
                <w:szCs w:val="18"/>
                <w:lang w:val="en-US" w:eastAsia="zh-CN" w:bidi="ar-SA"/>
              </w:rPr>
              <w:t>，</w:t>
            </w:r>
            <w:r>
              <w:rPr>
                <w:rFonts w:hint="eastAsia" w:ascii="宋体" w:hAnsi="宋体" w:eastAsia="宋体" w:cs="宋体"/>
                <w:color w:val="auto"/>
                <w:kern w:val="2"/>
                <w:sz w:val="18"/>
                <w:szCs w:val="18"/>
                <w:lang w:val="en-US" w:eastAsia="zh-CN" w:bidi="ar-SA"/>
              </w:rPr>
              <w:t>空载单次行程时≤</w:t>
            </w:r>
            <w:r>
              <w:rPr>
                <w:rFonts w:hint="eastAsia" w:hAnsi="宋体" w:cs="宋体"/>
                <w:color w:val="auto"/>
                <w:kern w:val="2"/>
                <w:sz w:val="18"/>
                <w:szCs w:val="18"/>
                <w:lang w:val="en-US" w:eastAsia="zh-CN" w:bidi="ar-SA"/>
              </w:rPr>
              <w:t>95</w:t>
            </w:r>
            <w:r>
              <w:rPr>
                <w:rFonts w:hint="eastAsia" w:ascii="宋体" w:hAnsi="宋体" w:eastAsia="宋体" w:cs="宋体"/>
                <w:color w:val="auto"/>
                <w:kern w:val="2"/>
                <w:sz w:val="18"/>
                <w:szCs w:val="18"/>
                <w:lang w:val="en-US" w:eastAsia="zh-CN" w:bidi="ar-SA"/>
              </w:rPr>
              <w:t>dB</w:t>
            </w:r>
            <w:r>
              <w:rPr>
                <w:rFonts w:hint="eastAsia" w:hAnsi="宋体" w:cs="宋体"/>
                <w:color w:val="auto"/>
                <w:kern w:val="2"/>
                <w:sz w:val="18"/>
                <w:szCs w:val="18"/>
                <w:lang w:val="en-US" w:eastAsia="zh-CN" w:bidi="ar-SA"/>
              </w:rPr>
              <w:t>。</w:t>
            </w:r>
          </w:p>
        </w:tc>
        <w:tc>
          <w:tcPr>
            <w:tcW w:w="1466" w:type="dxa"/>
            <w:shd w:val="clear" w:color="auto" w:fill="auto"/>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连续空运转时≤70dB，</w:t>
            </w:r>
          </w:p>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sz w:val="18"/>
                <w:szCs w:val="18"/>
                <w:lang w:val="en-US" w:eastAsia="zh-CN"/>
              </w:rPr>
            </w:pPr>
            <w:r>
              <w:rPr>
                <w:rFonts w:hint="eastAsia" w:ascii="宋体" w:hAnsi="宋体" w:eastAsia="宋体" w:cs="宋体"/>
                <w:color w:val="auto"/>
                <w:kern w:val="2"/>
                <w:sz w:val="18"/>
                <w:szCs w:val="18"/>
                <w:lang w:val="en-US" w:eastAsia="zh-CN" w:bidi="ar-SA"/>
              </w:rPr>
              <w:t>空载单次行程时≤88dB</w:t>
            </w:r>
          </w:p>
        </w:tc>
        <w:tc>
          <w:tcPr>
            <w:tcW w:w="1254" w:type="dxa"/>
            <w:shd w:val="clear" w:color="auto" w:fill="FFFFFF"/>
            <w:noWrap w:val="0"/>
            <w:vAlign w:val="center"/>
          </w:tcPr>
          <w:p>
            <w:pPr>
              <w:jc w:val="left"/>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噪声</w:t>
            </w:r>
            <w:r>
              <w:rPr>
                <w:rFonts w:hint="eastAsia" w:ascii="宋体" w:hAnsi="宋体" w:eastAsia="宋体" w:cs="宋体"/>
                <w:color w:val="auto"/>
                <w:sz w:val="18"/>
                <w:szCs w:val="18"/>
                <w:lang w:val="en-US" w:eastAsia="zh-CN"/>
              </w:rPr>
              <w:t>降低，减少噪声污染，利于人员职业健康。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blHeader/>
        </w:trPr>
        <w:tc>
          <w:tcPr>
            <w:tcW w:w="650" w:type="dxa"/>
            <w:shd w:val="clear" w:color="auto" w:fill="FFFFFF"/>
            <w:noWrap w:val="0"/>
            <w:vAlign w:val="center"/>
          </w:tcPr>
          <w:p>
            <w:pPr>
              <w:jc w:val="center"/>
              <w:rPr>
                <w:rFonts w:hint="default"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安全性</w:t>
            </w:r>
          </w:p>
        </w:tc>
        <w:tc>
          <w:tcPr>
            <w:tcW w:w="1930" w:type="dxa"/>
            <w:gridSpan w:val="3"/>
            <w:shd w:val="clear" w:color="auto" w:fill="FFFFFF"/>
            <w:noWrap w:val="0"/>
            <w:vAlign w:val="center"/>
          </w:tcPr>
          <w:p>
            <w:pPr>
              <w:jc w:val="left"/>
              <w:rPr>
                <w:rFonts w:hint="default" w:hAnsi="Times New Roman" w:cs="Times New Roman"/>
                <w:color w:val="auto"/>
                <w:lang w:val="en-US" w:eastAsia="zh-CN"/>
              </w:rPr>
            </w:pPr>
            <w:r>
              <w:rPr>
                <w:rFonts w:hint="eastAsia" w:ascii="宋体" w:hAnsi="宋体" w:eastAsia="宋体" w:cs="宋体"/>
                <w:color w:val="auto"/>
                <w:kern w:val="2"/>
                <w:sz w:val="18"/>
                <w:szCs w:val="18"/>
                <w:lang w:val="en-US" w:eastAsia="zh-CN" w:bidi="ar-SA"/>
              </w:rPr>
              <w:t>温升限值</w:t>
            </w:r>
          </w:p>
        </w:tc>
        <w:tc>
          <w:tcPr>
            <w:tcW w:w="1353" w:type="dxa"/>
            <w:shd w:val="clear" w:color="auto" w:fill="FFFFFF"/>
            <w:noWrap w:val="0"/>
            <w:vAlign w:val="center"/>
          </w:tcPr>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a）滑动轴承的温升不应大于 3</w:t>
            </w:r>
            <w:r>
              <w:rPr>
                <w:rFonts w:hint="eastAsia" w:hAnsi="宋体" w:cs="宋体"/>
                <w:color w:val="auto"/>
                <w:kern w:val="2"/>
                <w:sz w:val="18"/>
                <w:szCs w:val="18"/>
                <w:lang w:val="en-US" w:eastAsia="zh-CN" w:bidi="ar-SA"/>
              </w:rPr>
              <w:t>5</w:t>
            </w:r>
            <w:r>
              <w:rPr>
                <w:rFonts w:hint="eastAsia" w:ascii="宋体" w:hAnsi="宋体" w:eastAsia="宋体" w:cs="宋体"/>
                <w:color w:val="auto"/>
                <w:kern w:val="2"/>
                <w:sz w:val="18"/>
                <w:szCs w:val="18"/>
                <w:lang w:val="en-US" w:eastAsia="zh-CN" w:bidi="ar-SA"/>
              </w:rPr>
              <w:t xml:space="preserve">℃,最高温度不应高于 </w:t>
            </w:r>
            <w:r>
              <w:rPr>
                <w:rFonts w:hint="eastAsia" w:hAnsi="宋体" w:cs="宋体"/>
                <w:color w:val="auto"/>
                <w:kern w:val="2"/>
                <w:sz w:val="18"/>
                <w:szCs w:val="18"/>
                <w:lang w:val="en-US" w:eastAsia="zh-CN" w:bidi="ar-SA"/>
              </w:rPr>
              <w:t>70</w:t>
            </w:r>
            <w:r>
              <w:rPr>
                <w:rFonts w:hint="eastAsia" w:ascii="宋体" w:hAnsi="宋体" w:eastAsia="宋体" w:cs="宋体"/>
                <w:color w:val="auto"/>
                <w:kern w:val="2"/>
                <w:sz w:val="18"/>
                <w:szCs w:val="18"/>
                <w:lang w:val="en-US" w:eastAsia="zh-CN" w:bidi="ar-SA"/>
              </w:rPr>
              <w:t>℃。</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 xml:space="preserve">b）滚动轴承的温升不应大于 </w:t>
            </w:r>
            <w:r>
              <w:rPr>
                <w:rFonts w:hint="eastAsia" w:hAnsi="宋体" w:cs="宋体"/>
                <w:color w:val="auto"/>
                <w:kern w:val="2"/>
                <w:sz w:val="18"/>
                <w:szCs w:val="18"/>
                <w:lang w:val="en-US" w:eastAsia="zh-CN" w:bidi="ar-SA"/>
              </w:rPr>
              <w:t>40</w:t>
            </w:r>
            <w:r>
              <w:rPr>
                <w:rFonts w:hint="eastAsia" w:ascii="宋体" w:hAnsi="宋体" w:eastAsia="宋体" w:cs="宋体"/>
                <w:color w:val="auto"/>
                <w:kern w:val="2"/>
                <w:sz w:val="18"/>
                <w:szCs w:val="18"/>
                <w:lang w:val="en-US" w:eastAsia="zh-CN" w:bidi="ar-SA"/>
              </w:rPr>
              <w:t xml:space="preserve">℃,最高温度不应高于 </w:t>
            </w:r>
            <w:r>
              <w:rPr>
                <w:rFonts w:hint="eastAsia" w:hAnsi="宋体" w:cs="宋体"/>
                <w:color w:val="auto"/>
                <w:kern w:val="2"/>
                <w:sz w:val="18"/>
                <w:szCs w:val="18"/>
                <w:lang w:val="en-US" w:eastAsia="zh-CN" w:bidi="ar-SA"/>
              </w:rPr>
              <w:t>70</w:t>
            </w:r>
            <w:r>
              <w:rPr>
                <w:rFonts w:hint="eastAsia" w:ascii="宋体" w:hAnsi="宋体" w:eastAsia="宋体" w:cs="宋体"/>
                <w:color w:val="auto"/>
                <w:kern w:val="2"/>
                <w:sz w:val="18"/>
                <w:szCs w:val="18"/>
                <w:lang w:val="en-US" w:eastAsia="zh-CN" w:bidi="ar-SA"/>
              </w:rPr>
              <w:t>℃。</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 xml:space="preserve">c）滑动导轨的温升不应大于 15℃,最高温度不应高于 </w:t>
            </w:r>
            <w:r>
              <w:rPr>
                <w:rFonts w:hint="eastAsia" w:hAnsi="宋体" w:cs="宋体"/>
                <w:color w:val="auto"/>
                <w:kern w:val="2"/>
                <w:sz w:val="18"/>
                <w:szCs w:val="18"/>
                <w:lang w:val="en-US" w:eastAsia="zh-CN" w:bidi="ar-SA"/>
              </w:rPr>
              <w:t>50</w:t>
            </w:r>
            <w:r>
              <w:rPr>
                <w:rFonts w:hint="eastAsia" w:ascii="宋体" w:hAnsi="宋体" w:eastAsia="宋体" w:cs="宋体"/>
                <w:color w:val="auto"/>
                <w:kern w:val="2"/>
                <w:sz w:val="18"/>
                <w:szCs w:val="18"/>
                <w:lang w:val="en-US" w:eastAsia="zh-CN" w:bidi="ar-SA"/>
              </w:rPr>
              <w:t>℃。</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 xml:space="preserve">d）干式摩擦离合器与制动器的温升不应大于 </w:t>
            </w:r>
            <w:r>
              <w:rPr>
                <w:rFonts w:hint="eastAsia" w:hAnsi="宋体" w:cs="宋体"/>
                <w:color w:val="auto"/>
                <w:kern w:val="2"/>
                <w:sz w:val="18"/>
                <w:szCs w:val="18"/>
                <w:lang w:val="en-US" w:eastAsia="zh-CN" w:bidi="ar-SA"/>
              </w:rPr>
              <w:t>60</w:t>
            </w:r>
            <w:r>
              <w:rPr>
                <w:rFonts w:hint="eastAsia" w:ascii="宋体" w:hAnsi="宋体" w:eastAsia="宋体" w:cs="宋体"/>
                <w:color w:val="auto"/>
                <w:kern w:val="2"/>
                <w:sz w:val="18"/>
                <w:szCs w:val="18"/>
                <w:lang w:val="en-US" w:eastAsia="zh-CN" w:bidi="ar-SA"/>
              </w:rPr>
              <w:t xml:space="preserve">℃,最高温度不应高于 </w:t>
            </w:r>
            <w:r>
              <w:rPr>
                <w:rFonts w:hint="eastAsia" w:hAnsi="宋体" w:cs="宋体"/>
                <w:color w:val="auto"/>
                <w:kern w:val="2"/>
                <w:sz w:val="18"/>
                <w:szCs w:val="18"/>
                <w:lang w:val="en-US" w:eastAsia="zh-CN" w:bidi="ar-SA"/>
              </w:rPr>
              <w:t>90</w:t>
            </w:r>
            <w:r>
              <w:rPr>
                <w:rFonts w:hint="eastAsia" w:ascii="宋体" w:hAnsi="宋体" w:eastAsia="宋体" w:cs="宋体"/>
                <w:color w:val="auto"/>
                <w:kern w:val="2"/>
                <w:sz w:val="18"/>
                <w:szCs w:val="18"/>
                <w:lang w:val="en-US" w:eastAsia="zh-CN" w:bidi="ar-SA"/>
              </w:rPr>
              <w:t>℃。</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e）湿式摩擦离合器与制动器冷却油的温升不应大于</w:t>
            </w:r>
            <w:r>
              <w:rPr>
                <w:rFonts w:hint="eastAsia" w:hAnsi="宋体" w:cs="宋体"/>
                <w:color w:val="auto"/>
                <w:kern w:val="2"/>
                <w:sz w:val="18"/>
                <w:szCs w:val="18"/>
                <w:lang w:val="en-US" w:eastAsia="zh-CN" w:bidi="ar-SA"/>
              </w:rPr>
              <w:t>35</w:t>
            </w:r>
            <w:r>
              <w:rPr>
                <w:rFonts w:hint="eastAsia" w:ascii="宋体" w:hAnsi="宋体" w:eastAsia="宋体" w:cs="宋体"/>
                <w:color w:val="auto"/>
                <w:kern w:val="2"/>
                <w:sz w:val="18"/>
                <w:szCs w:val="18"/>
                <w:lang w:val="en-US" w:eastAsia="zh-CN" w:bidi="ar-SA"/>
              </w:rPr>
              <w:t>℃,最高温度不应高于 6</w:t>
            </w:r>
            <w:r>
              <w:rPr>
                <w:rFonts w:hint="eastAsia" w:hAnsi="宋体" w:cs="宋体"/>
                <w:color w:val="auto"/>
                <w:kern w:val="2"/>
                <w:sz w:val="18"/>
                <w:szCs w:val="18"/>
                <w:lang w:val="en-US" w:eastAsia="zh-CN" w:bidi="ar-SA"/>
              </w:rPr>
              <w:t>5</w:t>
            </w:r>
            <w:r>
              <w:rPr>
                <w:rFonts w:hint="eastAsia" w:ascii="宋体" w:hAnsi="宋体" w:eastAsia="宋体" w:cs="宋体"/>
                <w:color w:val="auto"/>
                <w:kern w:val="2"/>
                <w:sz w:val="18"/>
                <w:szCs w:val="18"/>
                <w:lang w:val="en-US" w:eastAsia="zh-CN" w:bidi="ar-SA"/>
              </w:rPr>
              <w:t>℃。</w:t>
            </w:r>
          </w:p>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sz w:val="18"/>
                <w:szCs w:val="18"/>
                <w:lang w:val="en-US" w:eastAsia="zh-CN"/>
              </w:rPr>
            </w:pPr>
            <w:r>
              <w:rPr>
                <w:rFonts w:hint="eastAsia" w:ascii="宋体" w:hAnsi="宋体" w:eastAsia="宋体" w:cs="宋体"/>
                <w:color w:val="auto"/>
                <w:kern w:val="2"/>
                <w:sz w:val="18"/>
                <w:szCs w:val="18"/>
                <w:lang w:val="en-US" w:eastAsia="zh-CN" w:bidi="ar-SA"/>
              </w:rPr>
              <w:t>f）主电动机外壳的最高温度不应高于 11</w:t>
            </w:r>
            <w:r>
              <w:rPr>
                <w:rFonts w:hint="eastAsia" w:hAnsi="宋体" w:cs="宋体"/>
                <w:color w:val="auto"/>
                <w:kern w:val="2"/>
                <w:sz w:val="18"/>
                <w:szCs w:val="18"/>
                <w:lang w:val="en-US" w:eastAsia="zh-CN" w:bidi="ar-SA"/>
              </w:rPr>
              <w:t>5</w:t>
            </w:r>
            <w:r>
              <w:rPr>
                <w:rFonts w:hint="eastAsia" w:ascii="宋体" w:hAnsi="宋体" w:eastAsia="宋体" w:cs="宋体"/>
                <w:color w:val="auto"/>
                <w:kern w:val="2"/>
                <w:sz w:val="18"/>
                <w:szCs w:val="18"/>
                <w:lang w:val="en-US" w:eastAsia="zh-CN" w:bidi="ar-SA"/>
              </w:rPr>
              <w:t>℃。</w:t>
            </w:r>
          </w:p>
        </w:tc>
        <w:tc>
          <w:tcPr>
            <w:tcW w:w="1164"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466" w:type="dxa"/>
            <w:shd w:val="clear" w:color="auto" w:fill="auto"/>
            <w:noWrap w:val="0"/>
            <w:vAlign w:val="center"/>
          </w:tcPr>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a）滑动轴承的温升不应大于 30℃,最高温度不应高于 65℃。</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b）滚动轴承的温升不应大于 35℃,最高温度不应高于 65℃。</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c）滑动导轨的温升不应大于 15℃,最高温度不应高于 45℃。</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d）干式摩擦离合器与制动器的温升不应大于 58℃,最高温度不应高于 88℃。</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e）湿式摩擦离合器与制动器冷却油的温升不应大于 33℃,最高温度不应高于 63℃。</w:t>
            </w:r>
          </w:p>
          <w:p>
            <w:pPr>
              <w:pStyle w:val="27"/>
              <w:numPr>
                <w:ilvl w:val="0"/>
                <w:numId w:val="0"/>
              </w:numPr>
              <w:tabs>
                <w:tab w:val="clear" w:pos="0"/>
                <w:tab w:val="clear" w:pos="283"/>
              </w:tabs>
              <w:ind w:left="0" w:leftChars="0" w:firstLine="0" w:firstLineChars="0"/>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f）主电动机外壳的最高温度不应高于 110℃。</w:t>
            </w:r>
          </w:p>
        </w:tc>
        <w:tc>
          <w:tcPr>
            <w:tcW w:w="1254" w:type="dxa"/>
            <w:shd w:val="clear" w:color="auto" w:fill="FFFFFF"/>
            <w:noWrap w:val="0"/>
            <w:vAlign w:val="center"/>
          </w:tcPr>
          <w:p>
            <w:pPr>
              <w:jc w:val="left"/>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提升产品稳定性和使用寿命。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blHeader/>
        </w:trPr>
        <w:tc>
          <w:tcPr>
            <w:tcW w:w="650" w:type="dxa"/>
            <w:shd w:val="clear" w:color="auto" w:fill="FFFFFF"/>
            <w:noWrap w:val="0"/>
            <w:vAlign w:val="center"/>
          </w:tcPr>
          <w:p>
            <w:pPr>
              <w:jc w:val="center"/>
              <w:rPr>
                <w:rFonts w:hint="default"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功能性</w:t>
            </w:r>
          </w:p>
        </w:tc>
        <w:tc>
          <w:tcPr>
            <w:tcW w:w="1930" w:type="dxa"/>
            <w:gridSpan w:val="3"/>
            <w:shd w:val="clear" w:color="auto" w:fill="FFFFFF"/>
            <w:noWrap w:val="0"/>
            <w:vAlign w:val="center"/>
          </w:tcPr>
          <w:p>
            <w:pPr>
              <w:jc w:val="left"/>
              <w:rPr>
                <w:rFonts w:hint="eastAsia" w:hAnsi="Times New Roman" w:cs="Times New Roman"/>
                <w:color w:val="auto"/>
                <w:lang w:val="en-US" w:eastAsia="zh-CN"/>
              </w:rPr>
            </w:pPr>
            <w:r>
              <w:rPr>
                <w:rFonts w:hint="eastAsia" w:ascii="宋体" w:hAnsi="宋体" w:eastAsia="宋体" w:cs="宋体"/>
                <w:color w:val="auto"/>
                <w:kern w:val="2"/>
                <w:sz w:val="18"/>
                <w:szCs w:val="18"/>
                <w:lang w:val="en-US" w:eastAsia="zh-CN" w:bidi="ar-SA"/>
              </w:rPr>
              <w:t>智能功能要求</w:t>
            </w:r>
          </w:p>
        </w:tc>
        <w:tc>
          <w:tcPr>
            <w:tcW w:w="1353"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default" w:ascii="宋体" w:hAnsi="宋体" w:eastAsia="宋体" w:cs="宋体"/>
                <w:color w:val="auto"/>
                <w:sz w:val="18"/>
                <w:szCs w:val="18"/>
                <w:lang w:val="en-US" w:eastAsia="zh-CN"/>
              </w:rPr>
            </w:pPr>
            <w:r>
              <w:rPr>
                <w:rFonts w:hint="eastAsia" w:hAnsi="宋体" w:cs="宋体"/>
                <w:color w:val="auto"/>
                <w:sz w:val="18"/>
                <w:szCs w:val="18"/>
                <w:lang w:val="en-US" w:eastAsia="zh-CN"/>
              </w:rPr>
              <w:t>无</w:t>
            </w:r>
          </w:p>
        </w:tc>
        <w:tc>
          <w:tcPr>
            <w:tcW w:w="1164"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280" w:type="dxa"/>
            <w:shd w:val="clear" w:color="auto" w:fill="FFFFFF"/>
            <w:noWrap w:val="0"/>
            <w:vAlign w:val="center"/>
          </w:tcPr>
          <w:p>
            <w:pPr>
              <w:pStyle w:val="27"/>
              <w:numPr>
                <w:ilvl w:val="0"/>
                <w:numId w:val="0"/>
              </w:numPr>
              <w:tabs>
                <w:tab w:val="clear" w:pos="0"/>
                <w:tab w:val="clear" w:pos="283"/>
              </w:tabs>
              <w:ind w:left="0" w:leftChars="0" w:firstLine="0" w:firstLineChars="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w:t>
            </w:r>
          </w:p>
        </w:tc>
        <w:tc>
          <w:tcPr>
            <w:tcW w:w="1466" w:type="dxa"/>
            <w:shd w:val="clear" w:color="auto" w:fill="auto"/>
            <w:noWrap w:val="0"/>
            <w:vAlign w:val="center"/>
          </w:tcPr>
          <w:p>
            <w:pPr>
              <w:pStyle w:val="27"/>
              <w:numPr>
                <w:ilvl w:val="0"/>
                <w:numId w:val="0"/>
              </w:numPr>
              <w:tabs>
                <w:tab w:val="clear" w:pos="0"/>
                <w:tab w:val="clear" w:pos="283"/>
              </w:tabs>
              <w:ind w:left="0" w:leftChars="0" w:firstLine="0" w:firstLineChars="0"/>
              <w:jc w:val="both"/>
              <w:rPr>
                <w:rFonts w:hint="default" w:ascii="宋体" w:hAnsi="宋体" w:eastAsia="宋体" w:cs="宋体"/>
                <w:color w:val="auto"/>
                <w:kern w:val="2"/>
                <w:sz w:val="18"/>
                <w:szCs w:val="18"/>
                <w:lang w:val="en-US" w:eastAsia="zh-CN" w:bidi="ar-SA"/>
              </w:rPr>
            </w:pPr>
            <w:r>
              <w:rPr>
                <w:rFonts w:hint="eastAsia" w:hAnsi="宋体" w:cs="宋体"/>
                <w:color w:val="auto"/>
                <w:kern w:val="2"/>
                <w:sz w:val="18"/>
                <w:szCs w:val="18"/>
                <w:lang w:val="en-US" w:eastAsia="zh-CN" w:bidi="ar-SA"/>
              </w:rPr>
              <w:t>增加四遥功能和通讯方式。</w:t>
            </w:r>
          </w:p>
        </w:tc>
        <w:tc>
          <w:tcPr>
            <w:tcW w:w="1254" w:type="dxa"/>
            <w:shd w:val="clear" w:color="auto" w:fill="FFFFFF"/>
            <w:noWrap w:val="0"/>
            <w:vAlign w:val="center"/>
          </w:tcPr>
          <w:p>
            <w:pPr>
              <w:jc w:val="left"/>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数据反馈，及时调整速度，进行适速拉伸，保证产品质量，同时提高功效；</w:t>
            </w:r>
          </w:p>
        </w:tc>
      </w:tr>
    </w:tbl>
    <w:p>
      <w:pPr>
        <w:spacing w:line="500" w:lineRule="exact"/>
        <w:rPr>
          <w:rFonts w:hint="eastAsia" w:ascii="黑体" w:hAnsi="黑体" w:eastAsia="黑体" w:cs="Times New Roman"/>
          <w:color w:val="auto"/>
          <w:sz w:val="24"/>
        </w:rPr>
      </w:pPr>
      <w:r>
        <w:rPr>
          <w:rFonts w:hint="eastAsia" w:ascii="黑体" w:hAnsi="黑体" w:eastAsia="黑体" w:cs="Times New Roman"/>
          <w:color w:val="auto"/>
          <w:sz w:val="24"/>
        </w:rPr>
        <w:t>5.2  基本要求(型式试验规定技术指标外的产品设计、原材料、关键技术、工艺、设备等方面)、质量承诺等体现“浙江制造”标准“四精”特征的相关先进性的对比情况。</w:t>
      </w:r>
    </w:p>
    <w:p>
      <w:pPr>
        <w:pStyle w:val="11"/>
        <w:numPr>
          <w:ilvl w:val="1"/>
          <w:numId w:val="0"/>
        </w:numPr>
        <w:tabs>
          <w:tab w:val="left" w:pos="284"/>
          <w:tab w:val="left" w:pos="567"/>
          <w:tab w:val="clear" w:pos="0"/>
        </w:tabs>
        <w:spacing w:before="156" w:after="156"/>
        <w:rPr>
          <w:rFonts w:hint="eastAsia" w:hAnsi="黑体"/>
          <w:sz w:val="24"/>
          <w:szCs w:val="24"/>
        </w:rPr>
      </w:pPr>
      <w:r>
        <w:rPr>
          <w:rFonts w:hint="eastAsia" w:ascii="仿宋_GB2312" w:hAnsi="宋体" w:eastAsia="仿宋_GB2312"/>
          <w:b/>
          <w:kern w:val="2"/>
          <w:sz w:val="24"/>
          <w:szCs w:val="24"/>
          <w:lang w:val="en-US" w:eastAsia="zh-CN"/>
        </w:rPr>
        <w:t>5</w:t>
      </w:r>
      <w:r>
        <w:rPr>
          <w:rFonts w:hint="eastAsia" w:ascii="仿宋_GB2312" w:hAnsi="宋体" w:eastAsia="仿宋_GB2312"/>
          <w:b/>
          <w:kern w:val="2"/>
          <w:sz w:val="24"/>
          <w:szCs w:val="24"/>
        </w:rPr>
        <w:t>.2.1</w:t>
      </w:r>
      <w:r>
        <w:rPr>
          <w:rFonts w:hint="eastAsia" w:ascii="仿宋_GB2312" w:hAnsi="宋体" w:eastAsia="仿宋_GB2312"/>
          <w:b/>
          <w:kern w:val="2"/>
          <w:sz w:val="24"/>
          <w:szCs w:val="24"/>
          <w:lang w:val="en-US" w:eastAsia="zh-CN"/>
        </w:rPr>
        <w:t xml:space="preserve"> </w:t>
      </w:r>
      <w:r>
        <w:rPr>
          <w:rFonts w:hint="eastAsia" w:hAnsi="黑体"/>
          <w:sz w:val="24"/>
          <w:szCs w:val="24"/>
        </w:rPr>
        <w:t>设计研发</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1）</w:t>
      </w:r>
      <w:r>
        <w:rPr>
          <w:rFonts w:hint="eastAsia" w:ascii="仿宋_GB2312" w:hAnsi="宋体" w:eastAsia="仿宋_GB2312"/>
          <w:sz w:val="24"/>
          <w:lang w:eastAsia="zh-CN"/>
        </w:rPr>
        <w:t>采用三维设计软件设计冲压设备，关键零部件应进行有限元分析</w:t>
      </w:r>
      <w:r>
        <w:rPr>
          <w:rFonts w:hint="eastAsia" w:ascii="仿宋_GB2312" w:hAnsi="宋体" w:eastAsia="仿宋_GB2312"/>
          <w:sz w:val="24"/>
        </w:rPr>
        <w:t>。</w:t>
      </w:r>
    </w:p>
    <w:p>
      <w:pPr>
        <w:pStyle w:val="11"/>
        <w:numPr>
          <w:ilvl w:val="1"/>
          <w:numId w:val="0"/>
        </w:numPr>
        <w:tabs>
          <w:tab w:val="left" w:pos="284"/>
          <w:tab w:val="left" w:pos="567"/>
          <w:tab w:val="clear" w:pos="0"/>
        </w:tabs>
        <w:spacing w:before="156" w:after="156" w:line="360" w:lineRule="auto"/>
        <w:rPr>
          <w:rFonts w:hint="eastAsia" w:ascii="仿宋_GB2312" w:hAnsi="宋体" w:eastAsia="仿宋_GB2312"/>
          <w:b/>
          <w:kern w:val="2"/>
          <w:sz w:val="24"/>
          <w:szCs w:val="24"/>
        </w:rPr>
      </w:pPr>
      <w:r>
        <w:rPr>
          <w:rFonts w:hint="eastAsia" w:hAnsi="黑体"/>
          <w:sz w:val="24"/>
          <w:szCs w:val="24"/>
          <w:lang w:val="en-US" w:eastAsia="zh-CN"/>
        </w:rPr>
        <w:t>5</w:t>
      </w:r>
      <w:r>
        <w:rPr>
          <w:rFonts w:hint="eastAsia" w:hAnsi="黑体"/>
          <w:sz w:val="24"/>
          <w:szCs w:val="24"/>
        </w:rPr>
        <w:t>.2.2</w:t>
      </w:r>
      <w:r>
        <w:rPr>
          <w:rFonts w:hint="eastAsia" w:hAnsi="黑体"/>
          <w:sz w:val="24"/>
          <w:szCs w:val="24"/>
          <w:lang w:val="en-US" w:eastAsia="zh-CN"/>
        </w:rPr>
        <w:t xml:space="preserve"> </w:t>
      </w:r>
      <w:r>
        <w:rPr>
          <w:rFonts w:hint="eastAsia" w:ascii="仿宋_GB2312" w:hAnsi="宋体" w:eastAsia="仿宋_GB2312" w:cs="Times New Roman"/>
          <w:b/>
          <w:kern w:val="2"/>
          <w:sz w:val="24"/>
          <w:szCs w:val="24"/>
        </w:rPr>
        <w:t>原材料</w:t>
      </w:r>
      <w:r>
        <w:rPr>
          <w:rFonts w:hint="eastAsia" w:ascii="仿宋_GB2312" w:hAnsi="宋体" w:eastAsia="仿宋_GB2312" w:cs="Times New Roman"/>
          <w:b/>
          <w:kern w:val="2"/>
          <w:sz w:val="24"/>
          <w:szCs w:val="24"/>
          <w:lang w:val="en-US" w:eastAsia="zh-CN"/>
        </w:rPr>
        <w:t>及部件</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1）焊接件应符合 JB/T 8609 的规定。</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2）自由锻件应符合 GB/T 25136 的规定。</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3）球墨铸铁件应符合 GB/T 1348 的规定。</w:t>
      </w:r>
    </w:p>
    <w:p>
      <w:pPr>
        <w:pStyle w:val="11"/>
        <w:numPr>
          <w:ilvl w:val="1"/>
          <w:numId w:val="0"/>
        </w:numPr>
        <w:tabs>
          <w:tab w:val="left" w:pos="284"/>
          <w:tab w:val="left" w:pos="567"/>
          <w:tab w:val="clear" w:pos="0"/>
        </w:tabs>
        <w:spacing w:before="156" w:after="156" w:line="360" w:lineRule="auto"/>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4）上、下工作台采用材料性能不低于Q355 的钢材,焊接的机身、滑块应采用材料性能不低于Q235B 的钢材。 </w:t>
      </w:r>
    </w:p>
    <w:p>
      <w:pPr>
        <w:pStyle w:val="11"/>
        <w:numPr>
          <w:ilvl w:val="1"/>
          <w:numId w:val="0"/>
        </w:numPr>
        <w:tabs>
          <w:tab w:val="left" w:pos="284"/>
          <w:tab w:val="left" w:pos="567"/>
          <w:tab w:val="clear" w:pos="0"/>
        </w:tabs>
        <w:spacing w:before="156" w:after="156" w:line="360" w:lineRule="auto"/>
        <w:rPr>
          <w:rFonts w:hint="eastAsia" w:hAnsi="黑体"/>
          <w:sz w:val="24"/>
          <w:szCs w:val="24"/>
          <w:lang w:val="en-US" w:eastAsia="zh-CN"/>
        </w:rPr>
      </w:pPr>
      <w:r>
        <w:rPr>
          <w:rFonts w:hint="eastAsia" w:hAnsi="黑体"/>
          <w:sz w:val="24"/>
          <w:szCs w:val="24"/>
          <w:lang w:val="en-US" w:eastAsia="zh-CN"/>
        </w:rPr>
        <w:t>5.2.3工艺及装备</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1）焊接件应进行回火处理，锻件需进行热处理。</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2）传动齿轮（窄槽人字齿除外）应采用磨削加工，齿顶应进行修缘。</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3）机身应采用大型铣镗床加工。</w:t>
      </w:r>
    </w:p>
    <w:p>
      <w:pPr>
        <w:pStyle w:val="11"/>
        <w:numPr>
          <w:ilvl w:val="1"/>
          <w:numId w:val="0"/>
        </w:numPr>
        <w:tabs>
          <w:tab w:val="left" w:pos="284"/>
          <w:tab w:val="left" w:pos="567"/>
          <w:tab w:val="clear" w:pos="0"/>
        </w:tabs>
        <w:spacing w:before="156" w:after="156" w:line="360" w:lineRule="auto"/>
        <w:rPr>
          <w:rFonts w:hint="eastAsia" w:hAnsi="黑体"/>
          <w:sz w:val="24"/>
          <w:szCs w:val="24"/>
          <w:lang w:val="en-US" w:eastAsia="zh-CN"/>
        </w:rPr>
      </w:pPr>
      <w:r>
        <w:rPr>
          <w:rFonts w:hint="eastAsia" w:hAnsi="黑体"/>
          <w:sz w:val="24"/>
          <w:szCs w:val="24"/>
          <w:lang w:val="en-US" w:eastAsia="zh-CN"/>
        </w:rPr>
        <w:t>5.2.4 精诚服务</w:t>
      </w:r>
    </w:p>
    <w:p>
      <w:pPr>
        <w:tabs>
          <w:tab w:val="left" w:pos="2160"/>
        </w:tabs>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lang w:val="en-US" w:eastAsia="zh-CN"/>
        </w:rPr>
        <w:t>1）质保期限：</w:t>
      </w:r>
      <w:r>
        <w:rPr>
          <w:rFonts w:hint="eastAsia" w:ascii="仿宋_GB2312" w:hAnsi="宋体" w:eastAsia="仿宋_GB2312"/>
          <w:sz w:val="24"/>
          <w:lang w:eastAsia="zh-CN"/>
        </w:rPr>
        <w:t>在正常使用、运输、贮存条件下，整机保修12个月，台身、曲轴、滑块等主要机械部件质保期为24个月。</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lang w:val="en-US" w:eastAsia="zh-CN"/>
        </w:rPr>
        <w:t>2）今后服务：</w:t>
      </w:r>
      <w:r>
        <w:rPr>
          <w:rFonts w:hint="eastAsia" w:ascii="仿宋_GB2312" w:hAnsi="宋体" w:eastAsia="仿宋_GB2312"/>
          <w:sz w:val="24"/>
          <w:lang w:eastAsia="zh-CN"/>
        </w:rPr>
        <w:t>建立快速24小时响应和全覆盖的售后服务组织机构。</w:t>
      </w:r>
    </w:p>
    <w:p>
      <w:pPr>
        <w:tabs>
          <w:tab w:val="left" w:pos="2160"/>
        </w:tabs>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sz w:val="24"/>
          <w:lang w:val="en-US" w:eastAsia="zh-CN"/>
        </w:rPr>
        <w:t>3）可追溯性：制造厂建立质量信息追溯系统，保证产品的可追溯。</w:t>
      </w:r>
    </w:p>
    <w:p>
      <w:pPr>
        <w:spacing w:line="500" w:lineRule="exact"/>
        <w:rPr>
          <w:rFonts w:hint="eastAsia" w:ascii="黑体" w:hAnsi="黑体" w:eastAsia="黑体" w:cs="黑体"/>
          <w:sz w:val="24"/>
        </w:rPr>
      </w:pPr>
      <w:r>
        <w:rPr>
          <w:rFonts w:hint="eastAsia" w:ascii="黑体" w:hAnsi="黑体" w:eastAsia="黑体" w:cs="黑体"/>
          <w:sz w:val="24"/>
        </w:rPr>
        <w:t>5.3  标准中能体现“智能制造”、“绿色制造”先进性的内容说明。（若无相关先进性也应说明）。</w:t>
      </w:r>
    </w:p>
    <w:p>
      <w:pPr>
        <w:numPr>
          <w:ilvl w:val="0"/>
          <w:numId w:val="5"/>
        </w:numPr>
        <w:tabs>
          <w:tab w:val="left" w:pos="2160"/>
        </w:tabs>
        <w:spacing w:line="360" w:lineRule="auto"/>
        <w:ind w:left="0" w:leftChars="0"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润滑油、拉伸油、冷却水等全部可以循环利用，经济环保；</w:t>
      </w:r>
    </w:p>
    <w:p>
      <w:pPr>
        <w:numPr>
          <w:ilvl w:val="0"/>
          <w:numId w:val="5"/>
        </w:numPr>
        <w:tabs>
          <w:tab w:val="left" w:pos="2160"/>
        </w:tabs>
        <w:spacing w:line="360" w:lineRule="auto"/>
        <w:ind w:left="0" w:leftChars="0"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噪音低，一般优于标准7-16dB，减少噪声污染，利于人员职业健康；</w:t>
      </w:r>
    </w:p>
    <w:p>
      <w:pPr>
        <w:numPr>
          <w:ilvl w:val="0"/>
          <w:numId w:val="5"/>
        </w:numPr>
        <w:tabs>
          <w:tab w:val="left" w:pos="2160"/>
        </w:tabs>
        <w:spacing w:line="360" w:lineRule="auto"/>
        <w:ind w:left="0" w:leftChars="0"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采用变频调速，节能、噪音低、产品适应性强；</w:t>
      </w:r>
    </w:p>
    <w:p>
      <w:pPr>
        <w:numPr>
          <w:ilvl w:val="0"/>
          <w:numId w:val="5"/>
        </w:numPr>
        <w:tabs>
          <w:tab w:val="left" w:pos="2160"/>
        </w:tabs>
        <w:spacing w:line="360" w:lineRule="auto"/>
        <w:ind w:left="0" w:leftChars="0"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采用智能技术，增加四遥功能和通讯方式，真正解放人手；数据智能反馈，及时调整速度，进行适速拉伸，保证产品质量，同时提高功效；采用物联网技术，远程诊断等；</w:t>
      </w:r>
    </w:p>
    <w:p>
      <w:pPr>
        <w:numPr>
          <w:ilvl w:val="0"/>
          <w:numId w:val="5"/>
        </w:numPr>
        <w:tabs>
          <w:tab w:val="left" w:pos="2160"/>
        </w:tabs>
        <w:spacing w:line="360" w:lineRule="auto"/>
        <w:ind w:left="0" w:leftChars="0"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配置有模架模具等，可以直接投入生产，智能选用、更换模具，效率高；</w:t>
      </w:r>
    </w:p>
    <w:p>
      <w:pPr>
        <w:pStyle w:val="10"/>
        <w:numPr>
          <w:ilvl w:val="0"/>
          <w:numId w:val="0"/>
        </w:numPr>
        <w:spacing w:before="312" w:after="312"/>
        <w:jc w:val="left"/>
        <w:rPr>
          <w:rFonts w:hint="eastAsia" w:hAnsi="黑体"/>
          <w:sz w:val="24"/>
          <w:szCs w:val="24"/>
        </w:rPr>
      </w:pPr>
      <w:r>
        <w:rPr>
          <w:rFonts w:hint="eastAsia" w:hAnsi="黑体"/>
          <w:sz w:val="24"/>
          <w:szCs w:val="24"/>
        </w:rPr>
        <w:t>6  与现行相关法律、法规、规章及相关标准的协调性</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本标准的制定符合国家有关的现行法律、法规和强制性标准的要求，与国家现行的环境保护政策、法规相辅相成。本标准的制定充分体现“浙江制造”标准“国内一流、国际先进”的定位，标准具有先进性，未有低于国标、行标和地方标准的情况。</w:t>
      </w:r>
    </w:p>
    <w:p>
      <w:pPr>
        <w:spacing w:line="500" w:lineRule="exact"/>
        <w:rPr>
          <w:rFonts w:ascii="黑体" w:hAnsi="黑体" w:eastAsia="黑体"/>
          <w:kern w:val="0"/>
          <w:sz w:val="24"/>
        </w:rPr>
      </w:pPr>
      <w:r>
        <w:rPr>
          <w:rFonts w:hint="eastAsia" w:ascii="黑体" w:hAnsi="黑体" w:eastAsia="黑体"/>
          <w:kern w:val="0"/>
          <w:sz w:val="24"/>
        </w:rPr>
        <w:t>6.1  目前国内主要执行的标准有：</w:t>
      </w:r>
    </w:p>
    <w:p>
      <w:pPr>
        <w:pStyle w:val="10"/>
        <w:numPr>
          <w:ilvl w:val="0"/>
          <w:numId w:val="0"/>
        </w:numPr>
        <w:spacing w:beforeLines="50" w:afterLines="50"/>
        <w:jc w:val="left"/>
        <w:rPr>
          <w:rFonts w:hAnsi="黑体"/>
          <w:sz w:val="24"/>
          <w:szCs w:val="24"/>
        </w:rPr>
      </w:pPr>
      <w:r>
        <w:rPr>
          <w:rFonts w:hint="eastAsia" w:hAnsi="黑体"/>
          <w:sz w:val="24"/>
          <w:szCs w:val="24"/>
        </w:rPr>
        <w:t>6.1 标准与有关强制性标准相冲突情况。</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本标准的制定符合国家有关的现行法律、法规和强制性标准的要求，与国家现行的环境保护政策、法规相辅相成。本标准的制定充分体现“浙江制造”标准“国内一流、国际先进”的定位，标准具有先进性，未有低于国标、行标和地方标准的情况。</w:t>
      </w:r>
    </w:p>
    <w:p>
      <w:pPr>
        <w:pStyle w:val="10"/>
        <w:numPr>
          <w:ilvl w:val="0"/>
          <w:numId w:val="0"/>
        </w:numPr>
        <w:spacing w:beforeLines="50" w:afterLines="50"/>
        <w:jc w:val="left"/>
        <w:rPr>
          <w:rFonts w:hAnsi="黑体"/>
          <w:sz w:val="24"/>
          <w:szCs w:val="24"/>
        </w:rPr>
      </w:pPr>
      <w:r>
        <w:rPr>
          <w:rFonts w:hint="eastAsia" w:hAnsi="黑体"/>
          <w:sz w:val="24"/>
          <w:szCs w:val="24"/>
        </w:rPr>
        <w:t>6.2 目前国内主要执行的标准有：</w:t>
      </w:r>
    </w:p>
    <w:p>
      <w:pPr>
        <w:tabs>
          <w:tab w:val="left" w:pos="2160"/>
        </w:tabs>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rPr>
        <w:t>目前</w:t>
      </w:r>
      <w:r>
        <w:rPr>
          <w:rFonts w:hint="eastAsia" w:ascii="仿宋_GB2312" w:hAnsi="宋体" w:eastAsia="仿宋_GB2312"/>
          <w:sz w:val="24"/>
          <w:lang w:val="en-US" w:eastAsia="zh-CN"/>
        </w:rPr>
        <w:t>执行</w:t>
      </w:r>
      <w:r>
        <w:rPr>
          <w:rFonts w:hint="eastAsia" w:ascii="仿宋_GB2312" w:hAnsi="宋体" w:eastAsia="仿宋_GB2312"/>
          <w:sz w:val="24"/>
        </w:rPr>
        <w:t>国内</w:t>
      </w:r>
      <w:r>
        <w:rPr>
          <w:rFonts w:hint="eastAsia" w:ascii="仿宋_GB2312" w:hAnsi="宋体" w:eastAsia="仿宋_GB2312"/>
          <w:sz w:val="24"/>
          <w:lang w:val="en-US" w:eastAsia="zh-CN"/>
        </w:rPr>
        <w:t>行业标准</w:t>
      </w:r>
      <w:r>
        <w:rPr>
          <w:rFonts w:hint="eastAsia" w:ascii="仿宋_GB2312" w:hAnsi="宋体" w:eastAsia="仿宋_GB2312"/>
          <w:sz w:val="24"/>
        </w:rPr>
        <w:t xml:space="preserve">JB/T1647.2-2012 </w:t>
      </w:r>
      <w:r>
        <w:rPr>
          <w:rFonts w:hint="eastAsia" w:ascii="仿宋_GB2312" w:hAnsi="宋体" w:eastAsia="仿宋_GB2312"/>
          <w:sz w:val="24"/>
          <w:lang w:eastAsia="zh-CN"/>
        </w:rPr>
        <w:t>《</w:t>
      </w:r>
      <w:r>
        <w:rPr>
          <w:rFonts w:hint="eastAsia" w:ascii="仿宋_GB2312" w:hAnsi="宋体" w:eastAsia="仿宋_GB2312"/>
          <w:sz w:val="24"/>
        </w:rPr>
        <w:t>闭式压力机 第2部分</w:t>
      </w:r>
      <w:r>
        <w:rPr>
          <w:rFonts w:hint="eastAsia" w:ascii="仿宋_GB2312" w:hAnsi="宋体" w:eastAsia="仿宋_GB2312"/>
          <w:sz w:val="24"/>
          <w:lang w:val="en-US" w:eastAsia="zh-CN"/>
        </w:rPr>
        <w:t xml:space="preserve"> </w:t>
      </w:r>
      <w:r>
        <w:rPr>
          <w:rFonts w:hint="eastAsia" w:ascii="仿宋_GB2312" w:hAnsi="宋体" w:eastAsia="仿宋_GB2312"/>
          <w:sz w:val="24"/>
        </w:rPr>
        <w:t>技术条件</w:t>
      </w:r>
      <w:r>
        <w:rPr>
          <w:rFonts w:hint="eastAsia" w:ascii="仿宋_GB2312" w:hAnsi="宋体" w:eastAsia="仿宋_GB2312"/>
          <w:sz w:val="24"/>
          <w:lang w:eastAsia="zh-CN"/>
        </w:rPr>
        <w:t>》</w:t>
      </w:r>
    </w:p>
    <w:p>
      <w:pPr>
        <w:pStyle w:val="10"/>
        <w:numPr>
          <w:ilvl w:val="0"/>
          <w:numId w:val="0"/>
        </w:numPr>
        <w:spacing w:beforeLines="50" w:afterLines="50"/>
        <w:jc w:val="left"/>
        <w:rPr>
          <w:rFonts w:hAnsi="黑体"/>
          <w:sz w:val="24"/>
          <w:szCs w:val="24"/>
        </w:rPr>
      </w:pPr>
      <w:r>
        <w:rPr>
          <w:rFonts w:hint="eastAsia" w:hAnsi="黑体"/>
          <w:sz w:val="24"/>
          <w:szCs w:val="24"/>
        </w:rPr>
        <w:t>6.3 本标准引用了以下文件：</w:t>
      </w:r>
    </w:p>
    <w:p>
      <w:pPr>
        <w:pStyle w:val="14"/>
        <w:keepNext w:val="0"/>
        <w:keepLines w:val="0"/>
        <w:pageBreakBefore w:val="0"/>
        <w:widowControl/>
        <w:kinsoku/>
        <w:wordWrap/>
        <w:overflowPunct/>
        <w:topLinePunct w:val="0"/>
        <w:bidi w:val="0"/>
        <w:adjustRightInd/>
        <w:snapToGrid/>
        <w:spacing w:line="360" w:lineRule="auto"/>
        <w:ind w:firstLine="480"/>
        <w:textAlignment w:val="auto"/>
        <w:rPr>
          <w:rFonts w:ascii="仿宋_GB2312" w:hAnsi="宋体" w:eastAsia="仿宋_GB2312"/>
          <w:kern w:val="2"/>
          <w:sz w:val="24"/>
          <w:szCs w:val="24"/>
        </w:rPr>
      </w:pPr>
      <w:r>
        <w:rPr>
          <w:rFonts w:hint="eastAsia" w:ascii="仿宋_GB2312" w:hAnsi="宋体" w:eastAsia="仿宋_GB2312"/>
          <w:kern w:val="2"/>
          <w:sz w:val="24"/>
          <w:szCs w:val="24"/>
        </w:rPr>
        <w:t>列文件中的内容通过文中的规范性引用而构成本文件必不可少的条款。其中，注日期的引用文件，仅该日期对应的版本适用于本文件。不注日期的引用文件，其最新版本（包括所有的修改单）适用于本文件。</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GB/T 191  包装储运图示标志</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rPr>
        <w:t>GB/T</w:t>
      </w:r>
      <w:r>
        <w:rPr>
          <w:rFonts w:hint="eastAsia" w:ascii="仿宋_GB2312" w:hAnsi="宋体" w:eastAsia="仿宋_GB2312"/>
          <w:sz w:val="24"/>
          <w:lang w:val="en-US" w:eastAsia="zh-CN"/>
        </w:rPr>
        <w:t xml:space="preserve"> </w:t>
      </w:r>
      <w:r>
        <w:rPr>
          <w:rFonts w:hint="eastAsia" w:ascii="仿宋_GB2312" w:hAnsi="宋体" w:eastAsia="仿宋_GB2312"/>
          <w:sz w:val="24"/>
        </w:rPr>
        <w:t>3766</w:t>
      </w:r>
      <w:r>
        <w:rPr>
          <w:rFonts w:hint="eastAsia" w:ascii="仿宋_GB2312" w:hAnsi="宋体" w:eastAsia="仿宋_GB2312"/>
          <w:sz w:val="24"/>
          <w:lang w:val="en-US" w:eastAsia="zh-CN"/>
        </w:rPr>
        <w:t xml:space="preserve"> </w:t>
      </w:r>
      <w:r>
        <w:rPr>
          <w:rFonts w:hint="eastAsia" w:ascii="仿宋_GB2312" w:hAnsi="宋体" w:eastAsia="仿宋_GB2312"/>
          <w:sz w:val="24"/>
          <w:lang w:eastAsia="zh-CN"/>
        </w:rPr>
        <w:t>液压传动系统及其元件的通用规则和安全要求</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GB/T 1348 球墨铸铁件</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eastAsia="zh-CN"/>
        </w:rPr>
        <w:t>GB</w:t>
      </w:r>
      <w:r>
        <w:rPr>
          <w:rFonts w:hint="eastAsia" w:ascii="仿宋_GB2312" w:hAnsi="宋体" w:eastAsia="仿宋_GB2312"/>
          <w:sz w:val="24"/>
          <w:lang w:val="en-US" w:eastAsia="zh-CN"/>
        </w:rPr>
        <w:t>/T</w:t>
      </w:r>
      <w:r>
        <w:rPr>
          <w:rFonts w:hint="eastAsia" w:ascii="仿宋_GB2312" w:hAnsi="宋体" w:eastAsia="仿宋_GB2312"/>
          <w:sz w:val="24"/>
          <w:lang w:eastAsia="zh-CN"/>
        </w:rPr>
        <w:t xml:space="preserve"> 5226.1</w:t>
      </w:r>
      <w:r>
        <w:rPr>
          <w:rFonts w:hint="eastAsia" w:ascii="仿宋_GB2312" w:hAnsi="宋体" w:eastAsia="仿宋_GB2312"/>
          <w:sz w:val="24"/>
          <w:lang w:val="en-US" w:eastAsia="zh-CN"/>
        </w:rPr>
        <w:t xml:space="preserve"> </w:t>
      </w:r>
      <w:r>
        <w:rPr>
          <w:rFonts w:hint="eastAsia" w:ascii="仿宋_GB2312" w:hAnsi="宋体" w:eastAsia="仿宋_GB2312"/>
          <w:sz w:val="24"/>
          <w:lang w:eastAsia="zh-CN"/>
        </w:rPr>
        <w:t>机械电气安全 机械电气设备 第1部分：通用技术条件</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rPr>
        <w:t>GB/T</w:t>
      </w:r>
      <w:r>
        <w:rPr>
          <w:rFonts w:hint="eastAsia" w:ascii="仿宋_GB2312" w:hAnsi="宋体" w:eastAsia="仿宋_GB2312"/>
          <w:sz w:val="24"/>
          <w:lang w:val="en-US" w:eastAsia="zh-CN"/>
        </w:rPr>
        <w:t xml:space="preserve"> </w:t>
      </w:r>
      <w:r>
        <w:rPr>
          <w:rFonts w:hint="eastAsia" w:ascii="仿宋_GB2312" w:hAnsi="宋体" w:eastAsia="仿宋_GB2312"/>
          <w:sz w:val="24"/>
        </w:rPr>
        <w:t>7932</w:t>
      </w:r>
      <w:r>
        <w:rPr>
          <w:rFonts w:hint="eastAsia" w:ascii="仿宋_GB2312" w:hAnsi="宋体" w:eastAsia="仿宋_GB2312"/>
          <w:sz w:val="24"/>
          <w:lang w:val="en-US" w:eastAsia="zh-CN"/>
        </w:rPr>
        <w:t xml:space="preserve"> </w:t>
      </w:r>
      <w:r>
        <w:rPr>
          <w:rFonts w:hint="eastAsia" w:ascii="仿宋_GB2312" w:hAnsi="宋体" w:eastAsia="仿宋_GB2312"/>
          <w:sz w:val="24"/>
          <w:lang w:eastAsia="zh-CN"/>
        </w:rPr>
        <w:t>气动对系统及其元件的一般规则和安全要求</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GB/T</w:t>
      </w:r>
      <w:r>
        <w:rPr>
          <w:rFonts w:hint="eastAsia" w:ascii="仿宋_GB2312" w:hAnsi="宋体" w:eastAsia="仿宋_GB2312"/>
          <w:sz w:val="24"/>
          <w:lang w:val="en-US" w:eastAsia="zh-CN"/>
        </w:rPr>
        <w:t xml:space="preserve"> </w:t>
      </w:r>
      <w:r>
        <w:rPr>
          <w:rFonts w:hint="eastAsia" w:ascii="仿宋_GB2312" w:hAnsi="宋体" w:eastAsia="仿宋_GB2312"/>
          <w:sz w:val="24"/>
        </w:rPr>
        <w:t>10923</w:t>
      </w:r>
      <w:r>
        <w:rPr>
          <w:rFonts w:hint="eastAsia" w:ascii="仿宋_GB2312" w:hAnsi="宋体" w:eastAsia="仿宋_GB2312"/>
          <w:sz w:val="24"/>
          <w:lang w:val="en-US" w:eastAsia="zh-CN"/>
        </w:rPr>
        <w:t xml:space="preserve"> </w:t>
      </w:r>
      <w:r>
        <w:rPr>
          <w:rFonts w:hint="eastAsia" w:ascii="仿宋_GB2312" w:hAnsi="宋体" w:eastAsia="仿宋_GB2312"/>
          <w:sz w:val="24"/>
          <w:lang w:eastAsia="zh-CN"/>
        </w:rPr>
        <w:t>锻压机械 精度检验通则</w:t>
      </w:r>
    </w:p>
    <w:p>
      <w:pPr>
        <w:tabs>
          <w:tab w:val="left" w:pos="21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GB/T</w:t>
      </w:r>
      <w:r>
        <w:rPr>
          <w:rFonts w:hint="eastAsia" w:ascii="仿宋_GB2312" w:hAnsi="宋体" w:eastAsia="仿宋_GB2312"/>
          <w:sz w:val="24"/>
          <w:lang w:val="en-US" w:eastAsia="zh-CN"/>
        </w:rPr>
        <w:t xml:space="preserve"> </w:t>
      </w:r>
      <w:r>
        <w:rPr>
          <w:rFonts w:hint="eastAsia" w:ascii="仿宋_GB2312" w:hAnsi="宋体" w:eastAsia="仿宋_GB2312"/>
          <w:sz w:val="24"/>
        </w:rPr>
        <w:t>13306</w:t>
      </w:r>
      <w:r>
        <w:rPr>
          <w:rFonts w:hint="eastAsia" w:ascii="仿宋_GB2312" w:hAnsi="宋体" w:eastAsia="仿宋_GB2312"/>
          <w:sz w:val="24"/>
          <w:lang w:val="en-US" w:eastAsia="zh-CN"/>
        </w:rPr>
        <w:t xml:space="preserve"> </w:t>
      </w:r>
      <w:r>
        <w:rPr>
          <w:rFonts w:hint="eastAsia" w:ascii="仿宋_GB2312" w:hAnsi="宋体" w:eastAsia="仿宋_GB2312"/>
          <w:sz w:val="24"/>
        </w:rPr>
        <w:t>标牌</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GB 17120 锻压机械 安全技术条件</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GB/T 23281 锻压机械噪声声压级测量方法 </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GB/T 25136 钢质自由锻件检验通则</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GB 27607 机械压力机 安全技术要求 </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GB/T 28761 锻压机械 型号编制方法</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GB/T 36484 锻压机械 术语</w:t>
      </w:r>
    </w:p>
    <w:p>
      <w:pPr>
        <w:tabs>
          <w:tab w:val="left" w:pos="2160"/>
        </w:tabs>
        <w:spacing w:line="360" w:lineRule="auto"/>
        <w:ind w:firstLine="480" w:firstLineChars="200"/>
        <w:rPr>
          <w:rFonts w:hint="default" w:ascii="仿宋_GB2312" w:hAnsi="宋体" w:eastAsia="仿宋_GB2312"/>
          <w:sz w:val="24"/>
          <w:lang w:val="en-US" w:eastAsia="zh-CN"/>
        </w:rPr>
      </w:pPr>
      <w:r>
        <w:rPr>
          <w:rFonts w:hint="eastAsia" w:ascii="仿宋_GB2312" w:hAnsi="宋体" w:eastAsia="仿宋_GB2312"/>
          <w:sz w:val="24"/>
          <w:lang w:val="en-US" w:eastAsia="zh-CN"/>
        </w:rPr>
        <w:t>JB/T 1647.1 闭式压力机 第1部分：型式与基本参数</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JB/T 1647.2—2012 闭式压力机 第2部分：技术条件</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JB/T 1829 锻压机械 通用技术条件 </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JB/T 3240 锻压机械 操作指示形象化符号 </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JB/T 3848 闭式多工位压力机  精度</w:t>
      </w:r>
    </w:p>
    <w:p>
      <w:pPr>
        <w:tabs>
          <w:tab w:val="left" w:pos="2160"/>
        </w:tabs>
        <w:spacing w:line="360" w:lineRule="auto"/>
        <w:ind w:firstLine="480" w:firstLineChars="200"/>
        <w:rPr>
          <w:rFonts w:hint="default" w:ascii="仿宋_GB2312" w:hAnsi="宋体" w:eastAsia="仿宋_GB2312"/>
          <w:sz w:val="24"/>
          <w:lang w:val="en-US" w:eastAsia="zh-CN"/>
        </w:rPr>
      </w:pPr>
      <w:r>
        <w:rPr>
          <w:rFonts w:hint="eastAsia" w:ascii="仿宋_GB2312" w:hAnsi="宋体" w:eastAsia="仿宋_GB2312"/>
          <w:sz w:val="24"/>
          <w:lang w:val="en-US" w:eastAsia="zh-CN"/>
        </w:rPr>
        <w:t>JB/T 6580.1 开式压力机 第1部分:技术条件</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JB/T 8356 机床包装 技术条件</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JB/T 8609 锻压机械焊接件技术条件 </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JB/T 9954 锻压机械液压系统 清洁度 </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JB/T 12291 闭式压力机 术语</w:t>
      </w:r>
    </w:p>
    <w:p>
      <w:pPr>
        <w:tabs>
          <w:tab w:val="left" w:pos="2160"/>
        </w:tabs>
        <w:spacing w:line="360" w:lineRule="auto"/>
        <w:ind w:firstLine="480" w:firstLineChars="200"/>
        <w:rPr>
          <w:rFonts w:hint="eastAsia" w:ascii="仿宋_GB2312" w:hAnsi="宋体" w:eastAsia="仿宋_GB2312"/>
          <w:kern w:val="2"/>
          <w:sz w:val="24"/>
          <w:szCs w:val="24"/>
        </w:rPr>
      </w:pPr>
      <w:r>
        <w:rPr>
          <w:rFonts w:hint="eastAsia" w:ascii="仿宋_GB2312" w:hAnsi="宋体" w:eastAsia="仿宋_GB2312"/>
          <w:sz w:val="24"/>
          <w:lang w:val="en-US" w:eastAsia="zh-CN"/>
        </w:rPr>
        <w:t>T/ZZB 0136 四柱顶置油缸式高速超精密压力机</w:t>
      </w:r>
    </w:p>
    <w:p>
      <w:pPr>
        <w:pStyle w:val="10"/>
        <w:numPr>
          <w:ilvl w:val="0"/>
          <w:numId w:val="0"/>
        </w:numPr>
        <w:spacing w:before="312" w:after="312"/>
        <w:jc w:val="left"/>
        <w:rPr>
          <w:rFonts w:hAnsi="黑体"/>
          <w:sz w:val="24"/>
          <w:szCs w:val="24"/>
        </w:rPr>
      </w:pPr>
      <w:r>
        <w:rPr>
          <w:rFonts w:hint="eastAsia" w:hAnsi="黑体"/>
          <w:sz w:val="24"/>
          <w:szCs w:val="24"/>
        </w:rPr>
        <w:t>7  社会效益</w:t>
      </w:r>
    </w:p>
    <w:p>
      <w:pPr>
        <w:tabs>
          <w:tab w:val="left" w:pos="2160"/>
        </w:tabs>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新能源柱形电池壳智能冲压设备之前市场上主要是日本旭精机生产,由于可以用在子弹壳的生产,对中国进口有限制要求,是卡脖子技术。国内各大公司通过深入合作研究,近年也解决了这一卡脖子技术，自主研发高效率、高精度、高负载、高稳定的智能生产设备，已超越国内标准，部分条款已按国际标准进行制作，甚至优于国际标准。《新能源柱形电池壳智能冲压设备》标准的提出弥补了行业标准行业内新能源柱形电池壳智能冲压设备方面的不足和空白，给新能源柱形电池壳智能冲压设备提供了质量把控依据，给市场上产品的品质提供了保障。</w:t>
      </w:r>
    </w:p>
    <w:p>
      <w:pPr>
        <w:pStyle w:val="10"/>
        <w:numPr>
          <w:ilvl w:val="0"/>
          <w:numId w:val="0"/>
        </w:numPr>
        <w:spacing w:before="312" w:after="312"/>
        <w:jc w:val="left"/>
        <w:rPr>
          <w:rFonts w:hAnsi="黑体"/>
          <w:sz w:val="24"/>
          <w:szCs w:val="24"/>
        </w:rPr>
      </w:pPr>
      <w:r>
        <w:rPr>
          <w:rFonts w:hint="eastAsia" w:hAnsi="黑体"/>
          <w:sz w:val="24"/>
          <w:szCs w:val="24"/>
        </w:rPr>
        <w:t>8  重大分歧意见的处理经过和依据</w:t>
      </w:r>
    </w:p>
    <w:p>
      <w:pPr>
        <w:spacing w:line="500" w:lineRule="exact"/>
        <w:ind w:firstLine="465"/>
        <w:rPr>
          <w:rFonts w:ascii="仿宋_GB2312" w:hAnsi="宋体" w:eastAsia="仿宋_GB2312"/>
          <w:color w:val="000000"/>
          <w:kern w:val="0"/>
          <w:sz w:val="24"/>
        </w:rPr>
      </w:pPr>
      <w:r>
        <w:rPr>
          <w:rFonts w:hint="eastAsia" w:ascii="仿宋_GB2312" w:hAnsi="宋体" w:eastAsia="仿宋_GB2312"/>
          <w:color w:val="000000"/>
          <w:kern w:val="0"/>
          <w:sz w:val="24"/>
        </w:rPr>
        <w:t>无</w:t>
      </w:r>
    </w:p>
    <w:p>
      <w:pPr>
        <w:pStyle w:val="10"/>
        <w:numPr>
          <w:ilvl w:val="0"/>
          <w:numId w:val="0"/>
        </w:numPr>
        <w:spacing w:before="312" w:after="312"/>
        <w:jc w:val="left"/>
        <w:rPr>
          <w:rFonts w:hAnsi="黑体"/>
          <w:sz w:val="24"/>
          <w:szCs w:val="24"/>
        </w:rPr>
      </w:pPr>
      <w:r>
        <w:rPr>
          <w:rFonts w:hint="eastAsia" w:hAnsi="黑体"/>
          <w:sz w:val="24"/>
          <w:szCs w:val="24"/>
        </w:rPr>
        <w:t>9  废止现行相关标准的建议</w:t>
      </w:r>
    </w:p>
    <w:p>
      <w:pPr>
        <w:spacing w:line="500" w:lineRule="exact"/>
        <w:ind w:firstLine="360" w:firstLineChars="150"/>
        <w:rPr>
          <w:rFonts w:ascii="仿宋_GB2312" w:hAnsi="宋体" w:eastAsia="仿宋_GB2312"/>
          <w:color w:val="000000"/>
          <w:kern w:val="0"/>
          <w:sz w:val="24"/>
        </w:rPr>
      </w:pPr>
      <w:r>
        <w:rPr>
          <w:rFonts w:hint="eastAsia" w:ascii="仿宋_GB2312" w:hAnsi="宋体" w:eastAsia="仿宋_GB2312"/>
          <w:color w:val="000000"/>
          <w:kern w:val="0"/>
          <w:sz w:val="24"/>
        </w:rPr>
        <w:t>无</w:t>
      </w:r>
    </w:p>
    <w:p>
      <w:pPr>
        <w:pStyle w:val="10"/>
        <w:numPr>
          <w:ilvl w:val="0"/>
          <w:numId w:val="0"/>
        </w:numPr>
        <w:spacing w:before="312" w:after="312"/>
        <w:jc w:val="left"/>
        <w:rPr>
          <w:rFonts w:hAnsi="黑体"/>
          <w:sz w:val="24"/>
          <w:szCs w:val="24"/>
        </w:rPr>
      </w:pPr>
      <w:r>
        <w:rPr>
          <w:rFonts w:hint="eastAsia" w:hAnsi="黑体"/>
          <w:sz w:val="24"/>
          <w:szCs w:val="24"/>
        </w:rPr>
        <w:t>10  提出标准强制实施或推荐实施的建议和理由</w:t>
      </w:r>
    </w:p>
    <w:p>
      <w:pPr>
        <w:spacing w:line="500" w:lineRule="exact"/>
        <w:ind w:firstLine="480" w:firstLineChars="200"/>
        <w:rPr>
          <w:rFonts w:ascii="仿宋_GB2312" w:hAnsi="宋体" w:eastAsia="仿宋_GB2312"/>
          <w:sz w:val="24"/>
        </w:rPr>
      </w:pPr>
      <w:r>
        <w:rPr>
          <w:rFonts w:hint="eastAsia" w:ascii="仿宋_GB2312" w:hAnsi="宋体" w:eastAsia="仿宋_GB2312"/>
          <w:sz w:val="24"/>
        </w:rPr>
        <w:t>本标准为浙江省品牌建设联合会团体标准。</w:t>
      </w:r>
    </w:p>
    <w:p>
      <w:pPr>
        <w:pStyle w:val="10"/>
        <w:numPr>
          <w:ilvl w:val="0"/>
          <w:numId w:val="0"/>
        </w:numPr>
        <w:spacing w:before="312" w:after="312"/>
        <w:jc w:val="left"/>
        <w:rPr>
          <w:rFonts w:hAnsi="黑体"/>
          <w:sz w:val="24"/>
          <w:szCs w:val="24"/>
        </w:rPr>
      </w:pPr>
      <w:r>
        <w:rPr>
          <w:rFonts w:hint="eastAsia" w:hAnsi="黑体"/>
          <w:sz w:val="24"/>
          <w:szCs w:val="24"/>
        </w:rPr>
        <w:t>11  贯彻标准的要求和措施建议</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已批准发布的“浙江制造”标准，文本由浙江省品牌建设联合会在官方网站（http://www.zhejiangmade.org.cn/）上全文公布，供社会免费查阅。</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标准主要起草单位将在全国团体标准信息平台（http://www.ttbz.org.cn/）上自我声明采用本标准，其他采用本标准的单位也应在信息平台上进行自我声明。</w:t>
      </w:r>
    </w:p>
    <w:p>
      <w:pPr>
        <w:pStyle w:val="10"/>
        <w:numPr>
          <w:ilvl w:val="0"/>
          <w:numId w:val="0"/>
        </w:numPr>
        <w:spacing w:before="312" w:after="312"/>
        <w:jc w:val="left"/>
        <w:rPr>
          <w:rFonts w:hAnsi="黑体"/>
          <w:sz w:val="24"/>
          <w:szCs w:val="24"/>
        </w:rPr>
      </w:pPr>
      <w:r>
        <w:rPr>
          <w:rFonts w:hint="eastAsia" w:hAnsi="黑体"/>
          <w:sz w:val="24"/>
          <w:szCs w:val="24"/>
        </w:rPr>
        <w:t>12  其他应予说明的事项</w:t>
      </w:r>
    </w:p>
    <w:p>
      <w:pPr>
        <w:tabs>
          <w:tab w:val="left" w:pos="2160"/>
        </w:tabs>
        <w:spacing w:line="360" w:lineRule="auto"/>
        <w:ind w:firstLine="480" w:firstLineChars="200"/>
        <w:rPr>
          <w:rFonts w:ascii="仿宋_GB2312" w:hAnsi="宋体" w:eastAsia="仿宋_GB2312"/>
          <w:sz w:val="24"/>
        </w:rPr>
      </w:pPr>
      <w:r>
        <w:rPr>
          <w:rFonts w:hint="eastAsia" w:ascii="仿宋_GB2312" w:hAnsi="宋体" w:eastAsia="仿宋_GB2312"/>
          <w:sz w:val="24"/>
        </w:rPr>
        <w:t>标准中无相关涉及专利的说明。</w:t>
      </w:r>
    </w:p>
    <w:p>
      <w:pPr>
        <w:spacing w:line="500" w:lineRule="exact"/>
        <w:ind w:firstLine="480"/>
        <w:rPr>
          <w:rFonts w:ascii="仿宋_GB2312" w:eastAsia="仿宋_GB2312"/>
          <w:sz w:val="24"/>
        </w:rPr>
      </w:pPr>
    </w:p>
    <w:p>
      <w:pPr>
        <w:spacing w:line="500" w:lineRule="exact"/>
        <w:ind w:firstLine="480"/>
        <w:rPr>
          <w:rFonts w:ascii="仿宋_GB2312" w:eastAsia="仿宋_GB2312"/>
          <w:sz w:val="24"/>
        </w:rPr>
      </w:pPr>
    </w:p>
    <w:p>
      <w:pPr>
        <w:spacing w:line="500" w:lineRule="exact"/>
        <w:ind w:firstLine="480"/>
        <w:rPr>
          <w:rFonts w:ascii="仿宋_GB2312" w:eastAsia="仿宋_GB2312"/>
          <w:sz w:val="24"/>
        </w:rPr>
      </w:pPr>
    </w:p>
    <w:p>
      <w:pPr>
        <w:spacing w:line="500" w:lineRule="exact"/>
        <w:ind w:firstLine="480"/>
        <w:rPr>
          <w:rFonts w:ascii="仿宋_GB2312" w:eastAsia="仿宋_GB2312"/>
          <w:sz w:val="24"/>
        </w:rPr>
      </w:pPr>
    </w:p>
    <w:p>
      <w:pPr>
        <w:spacing w:line="500" w:lineRule="exact"/>
        <w:ind w:firstLine="480"/>
        <w:rPr>
          <w:rFonts w:ascii="仿宋_GB2312" w:eastAsia="仿宋_GB2312"/>
          <w:sz w:val="24"/>
        </w:rPr>
      </w:pPr>
    </w:p>
    <w:p>
      <w:pPr>
        <w:spacing w:line="500" w:lineRule="exact"/>
        <w:ind w:firstLine="480"/>
        <w:rPr>
          <w:rFonts w:ascii="仿宋_GB2312" w:eastAsia="仿宋_GB2312"/>
          <w:sz w:val="24"/>
        </w:rPr>
      </w:pPr>
    </w:p>
    <w:p>
      <w:pPr>
        <w:spacing w:line="500" w:lineRule="exact"/>
        <w:ind w:firstLine="480"/>
        <w:rPr>
          <w:rFonts w:ascii="仿宋_GB2312" w:eastAsia="仿宋_GB2312"/>
          <w:sz w:val="24"/>
        </w:rPr>
      </w:pPr>
    </w:p>
    <w:p>
      <w:pPr>
        <w:spacing w:line="500" w:lineRule="exact"/>
        <w:ind w:firstLine="480"/>
        <w:rPr>
          <w:rFonts w:ascii="仿宋_GB2312" w:eastAsia="仿宋_GB2312"/>
          <w:sz w:val="24"/>
        </w:rPr>
      </w:pPr>
    </w:p>
    <w:p>
      <w:pPr>
        <w:tabs>
          <w:tab w:val="left" w:pos="2160"/>
        </w:tabs>
        <w:spacing w:line="360" w:lineRule="auto"/>
        <w:ind w:firstLine="480" w:firstLineChars="200"/>
        <w:jc w:val="right"/>
        <w:rPr>
          <w:rFonts w:ascii="仿宋_GB2312" w:hAnsi="宋体" w:eastAsia="仿宋_GB2312"/>
          <w:sz w:val="24"/>
        </w:rPr>
      </w:pPr>
      <w:r>
        <w:rPr>
          <w:rFonts w:hint="eastAsia" w:ascii="仿宋_GB2312" w:hAnsi="宋体" w:eastAsia="仿宋_GB2312"/>
          <w:sz w:val="24"/>
        </w:rPr>
        <w:t>《</w:t>
      </w:r>
      <w:r>
        <w:rPr>
          <w:rFonts w:hint="eastAsia" w:ascii="仿宋_GB2312" w:hAnsi="宋体" w:eastAsia="仿宋_GB2312"/>
          <w:sz w:val="24"/>
          <w:lang w:eastAsia="zh-CN"/>
        </w:rPr>
        <w:t>新能源柱形电池壳智能冲压设备</w:t>
      </w:r>
      <w:r>
        <w:rPr>
          <w:rFonts w:hint="eastAsia" w:ascii="仿宋_GB2312" w:hAnsi="宋体" w:eastAsia="仿宋_GB2312"/>
          <w:sz w:val="24"/>
        </w:rPr>
        <w:t>》标准研制工作组</w:t>
      </w:r>
    </w:p>
    <w:p>
      <w:pPr>
        <w:tabs>
          <w:tab w:val="left" w:pos="2160"/>
        </w:tabs>
        <w:spacing w:line="360" w:lineRule="auto"/>
        <w:ind w:firstLine="480" w:firstLineChars="200"/>
        <w:jc w:val="right"/>
        <w:rPr>
          <w:rFonts w:ascii="仿宋_GB2312" w:hAnsi="宋体" w:eastAsia="仿宋_GB2312"/>
          <w:sz w:val="24"/>
        </w:rPr>
      </w:pPr>
      <w:r>
        <w:rPr>
          <w:rFonts w:hint="eastAsia" w:ascii="仿宋_GB2312" w:hAnsi="宋体" w:eastAsia="仿宋_GB2312"/>
          <w:sz w:val="24"/>
        </w:rPr>
        <w:t>202</w:t>
      </w:r>
      <w:r>
        <w:rPr>
          <w:rFonts w:hint="eastAsia" w:ascii="仿宋_GB2312" w:hAnsi="宋体" w:eastAsia="仿宋_GB2312"/>
          <w:sz w:val="24"/>
          <w:lang w:val="en-US" w:eastAsia="zh-CN"/>
        </w:rPr>
        <w:t>1</w:t>
      </w:r>
      <w:r>
        <w:rPr>
          <w:rFonts w:hint="eastAsia" w:ascii="仿宋_GB2312" w:hAnsi="宋体" w:eastAsia="仿宋_GB2312"/>
          <w:sz w:val="24"/>
        </w:rPr>
        <w:t>年</w:t>
      </w:r>
      <w:r>
        <w:rPr>
          <w:rFonts w:hint="eastAsia" w:ascii="仿宋_GB2312" w:hAnsi="宋体" w:eastAsia="仿宋_GB2312"/>
          <w:sz w:val="24"/>
          <w:lang w:val="en-US" w:eastAsia="zh-CN"/>
        </w:rPr>
        <w:t>10</w:t>
      </w:r>
      <w:r>
        <w:rPr>
          <w:rFonts w:hint="eastAsia" w:ascii="仿宋_GB2312" w:hAnsi="宋体" w:eastAsia="仿宋_GB2312"/>
          <w:sz w:val="24"/>
        </w:rPr>
        <w:t>月</w:t>
      </w:r>
      <w:r>
        <w:rPr>
          <w:rFonts w:hint="eastAsia" w:ascii="仿宋_GB2312" w:hAnsi="宋体" w:eastAsia="仿宋_GB2312"/>
          <w:sz w:val="24"/>
          <w:lang w:val="en-US" w:eastAsia="zh-CN"/>
        </w:rPr>
        <w:t>8</w:t>
      </w:r>
      <w:r>
        <w:rPr>
          <w:rFonts w:hint="eastAsia" w:ascii="仿宋_GB2312" w:hAnsi="宋体" w:eastAsia="仿宋_GB2312"/>
          <w:sz w:val="24"/>
        </w:rPr>
        <w:t>日</w:t>
      </w:r>
      <w:bookmarkStart w:id="7" w:name="_GoBack"/>
      <w:bookmarkEnd w:id="7"/>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1922129"/>
    </w:sdtPr>
    <w:sdtContent>
      <w:p>
        <w:pPr>
          <w:pStyle w:val="4"/>
          <w:jc w:val="center"/>
        </w:pPr>
        <w:r>
          <w:fldChar w:fldCharType="begin"/>
        </w:r>
        <w:r>
          <w:instrText xml:space="preserve">PAGE   \* MERGEFORMAT</w:instrText>
        </w:r>
        <w:r>
          <w:fldChar w:fldCharType="separate"/>
        </w:r>
        <w:r>
          <w:rPr>
            <w:lang w:val="zh-CN"/>
          </w:rPr>
          <w:t>15</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8589FD"/>
    <w:multiLevelType w:val="singleLevel"/>
    <w:tmpl w:val="8F8589FD"/>
    <w:lvl w:ilvl="0" w:tentative="0">
      <w:start w:val="1"/>
      <w:numFmt w:val="decimalEnclosedCircleChinese"/>
      <w:suff w:val="nothing"/>
      <w:lvlText w:val="%1　"/>
      <w:lvlJc w:val="left"/>
      <w:pPr>
        <w:ind w:left="0" w:firstLine="400"/>
      </w:pPr>
      <w:rPr>
        <w:rFonts w:hint="eastAsia"/>
      </w:rPr>
    </w:lvl>
  </w:abstractNum>
  <w:abstractNum w:abstractNumId="1">
    <w:nsid w:val="EB4BDA8A"/>
    <w:multiLevelType w:val="singleLevel"/>
    <w:tmpl w:val="EB4BDA8A"/>
    <w:lvl w:ilvl="0" w:tentative="0">
      <w:start w:val="1"/>
      <w:numFmt w:val="upperLetter"/>
      <w:pStyle w:val="10"/>
      <w:lvlText w:val="%1."/>
      <w:lvlJc w:val="left"/>
      <w:pPr>
        <w:tabs>
          <w:tab w:val="left" w:pos="0"/>
        </w:tabs>
        <w:ind w:left="454" w:hanging="454"/>
      </w:pPr>
    </w:lvl>
  </w:abstractNum>
  <w:abstractNum w:abstractNumId="2">
    <w:nsid w:val="3971EDB1"/>
    <w:multiLevelType w:val="singleLevel"/>
    <w:tmpl w:val="3971EDB1"/>
    <w:lvl w:ilvl="0" w:tentative="0">
      <w:start w:val="1"/>
      <w:numFmt w:val="decimalEnclosedCircleChinese"/>
      <w:suff w:val="nothing"/>
      <w:lvlText w:val="%1　"/>
      <w:lvlJc w:val="left"/>
      <w:pPr>
        <w:ind w:left="0" w:firstLine="400"/>
      </w:pPr>
      <w:rPr>
        <w:rFonts w:hint="eastAsia"/>
      </w:rPr>
    </w:lvl>
  </w:abstractNum>
  <w:abstractNum w:abstractNumId="3">
    <w:nsid w:val="49E15960"/>
    <w:multiLevelType w:val="multilevel"/>
    <w:tmpl w:val="49E15960"/>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suff w:val="nothing"/>
      <w:lvlText w:val="%1.%2.%3　"/>
      <w:lvlJc w:val="left"/>
      <w:pPr>
        <w:ind w:left="210" w:firstLine="0"/>
      </w:pPr>
      <w:rPr>
        <w:rFonts w:hint="eastAsia" w:ascii="黑体" w:hAnsi="Times New Roman" w:eastAsia="黑体"/>
        <w:b w:val="0"/>
        <w:i w:val="0"/>
        <w:sz w:val="21"/>
      </w:rPr>
    </w:lvl>
    <w:lvl w:ilvl="3" w:tentative="0">
      <w:start w:val="1"/>
      <w:numFmt w:val="decimal"/>
      <w:pStyle w:val="16"/>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2"/>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1"/>
    <w:lvlOverride w:ilvl="0">
      <w:startOverride w:val="1"/>
    </w:lvlOverride>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048"/>
    <w:rsid w:val="00003138"/>
    <w:rsid w:val="00007B5B"/>
    <w:rsid w:val="00033221"/>
    <w:rsid w:val="00080507"/>
    <w:rsid w:val="00080B56"/>
    <w:rsid w:val="00087D09"/>
    <w:rsid w:val="000A5DE0"/>
    <w:rsid w:val="000C3551"/>
    <w:rsid w:val="000C4ECD"/>
    <w:rsid w:val="000F0F1A"/>
    <w:rsid w:val="000F2292"/>
    <w:rsid w:val="00134CAA"/>
    <w:rsid w:val="00146F44"/>
    <w:rsid w:val="00180F48"/>
    <w:rsid w:val="00193CD1"/>
    <w:rsid w:val="001A664D"/>
    <w:rsid w:val="001C2D79"/>
    <w:rsid w:val="001C324A"/>
    <w:rsid w:val="001F7672"/>
    <w:rsid w:val="0020582D"/>
    <w:rsid w:val="00237D01"/>
    <w:rsid w:val="002505F4"/>
    <w:rsid w:val="00295814"/>
    <w:rsid w:val="00297C1C"/>
    <w:rsid w:val="002F17D7"/>
    <w:rsid w:val="00344F25"/>
    <w:rsid w:val="00347AEB"/>
    <w:rsid w:val="003526ED"/>
    <w:rsid w:val="00363015"/>
    <w:rsid w:val="0037430D"/>
    <w:rsid w:val="00396354"/>
    <w:rsid w:val="003D4B0D"/>
    <w:rsid w:val="003E6E77"/>
    <w:rsid w:val="003F7301"/>
    <w:rsid w:val="00400930"/>
    <w:rsid w:val="00403D5A"/>
    <w:rsid w:val="0041289D"/>
    <w:rsid w:val="00426B58"/>
    <w:rsid w:val="004676A9"/>
    <w:rsid w:val="004742A6"/>
    <w:rsid w:val="004916D8"/>
    <w:rsid w:val="004B654C"/>
    <w:rsid w:val="004D4881"/>
    <w:rsid w:val="004E07D9"/>
    <w:rsid w:val="004F085C"/>
    <w:rsid w:val="0051003A"/>
    <w:rsid w:val="00554FF0"/>
    <w:rsid w:val="00557014"/>
    <w:rsid w:val="00563BA8"/>
    <w:rsid w:val="005859B5"/>
    <w:rsid w:val="006216DE"/>
    <w:rsid w:val="006243F2"/>
    <w:rsid w:val="006D01D3"/>
    <w:rsid w:val="006D6E26"/>
    <w:rsid w:val="006E48DF"/>
    <w:rsid w:val="00712007"/>
    <w:rsid w:val="00724B02"/>
    <w:rsid w:val="00735E53"/>
    <w:rsid w:val="0076613F"/>
    <w:rsid w:val="007812DF"/>
    <w:rsid w:val="00796B3D"/>
    <w:rsid w:val="007B3623"/>
    <w:rsid w:val="00812434"/>
    <w:rsid w:val="00831C78"/>
    <w:rsid w:val="008326AC"/>
    <w:rsid w:val="0083408A"/>
    <w:rsid w:val="00837A03"/>
    <w:rsid w:val="00876D49"/>
    <w:rsid w:val="00880DB3"/>
    <w:rsid w:val="00883AFA"/>
    <w:rsid w:val="008854C2"/>
    <w:rsid w:val="008967BB"/>
    <w:rsid w:val="00896974"/>
    <w:rsid w:val="008C47C8"/>
    <w:rsid w:val="00920A27"/>
    <w:rsid w:val="009216FA"/>
    <w:rsid w:val="00922810"/>
    <w:rsid w:val="00934654"/>
    <w:rsid w:val="00942694"/>
    <w:rsid w:val="009443CB"/>
    <w:rsid w:val="00962048"/>
    <w:rsid w:val="009624E1"/>
    <w:rsid w:val="009634F8"/>
    <w:rsid w:val="00983FE0"/>
    <w:rsid w:val="009B6ACB"/>
    <w:rsid w:val="009D3388"/>
    <w:rsid w:val="009F46E8"/>
    <w:rsid w:val="00A07F30"/>
    <w:rsid w:val="00A17B9A"/>
    <w:rsid w:val="00A45383"/>
    <w:rsid w:val="00A60BE5"/>
    <w:rsid w:val="00A85F64"/>
    <w:rsid w:val="00A9326A"/>
    <w:rsid w:val="00AA0BEB"/>
    <w:rsid w:val="00AA5A27"/>
    <w:rsid w:val="00AD3C57"/>
    <w:rsid w:val="00AF3A83"/>
    <w:rsid w:val="00AF666C"/>
    <w:rsid w:val="00B00D4C"/>
    <w:rsid w:val="00B06C1F"/>
    <w:rsid w:val="00B16AC5"/>
    <w:rsid w:val="00B3574A"/>
    <w:rsid w:val="00B4170F"/>
    <w:rsid w:val="00B44B54"/>
    <w:rsid w:val="00B771CB"/>
    <w:rsid w:val="00B82961"/>
    <w:rsid w:val="00B87634"/>
    <w:rsid w:val="00BA7D7D"/>
    <w:rsid w:val="00BD74FA"/>
    <w:rsid w:val="00BE3E4A"/>
    <w:rsid w:val="00BF7804"/>
    <w:rsid w:val="00C24D51"/>
    <w:rsid w:val="00C30FAF"/>
    <w:rsid w:val="00C31BC9"/>
    <w:rsid w:val="00C70872"/>
    <w:rsid w:val="00CA7ED7"/>
    <w:rsid w:val="00D36571"/>
    <w:rsid w:val="00D93FF4"/>
    <w:rsid w:val="00DC4E8C"/>
    <w:rsid w:val="00DE47A2"/>
    <w:rsid w:val="00DE62F1"/>
    <w:rsid w:val="00DF11CA"/>
    <w:rsid w:val="00DF2ABE"/>
    <w:rsid w:val="00E01814"/>
    <w:rsid w:val="00E676BD"/>
    <w:rsid w:val="00EA612F"/>
    <w:rsid w:val="00EB5BC6"/>
    <w:rsid w:val="00EB6D80"/>
    <w:rsid w:val="00EC2F29"/>
    <w:rsid w:val="00ED40B5"/>
    <w:rsid w:val="00F36343"/>
    <w:rsid w:val="00F46127"/>
    <w:rsid w:val="00F512C8"/>
    <w:rsid w:val="00F51808"/>
    <w:rsid w:val="00F74E3C"/>
    <w:rsid w:val="00FA251A"/>
    <w:rsid w:val="00FA397E"/>
    <w:rsid w:val="00FA4217"/>
    <w:rsid w:val="00FA7439"/>
    <w:rsid w:val="00FB371E"/>
    <w:rsid w:val="00FC3A9C"/>
    <w:rsid w:val="00FF7A2F"/>
    <w:rsid w:val="012F5520"/>
    <w:rsid w:val="02A406DB"/>
    <w:rsid w:val="04F87495"/>
    <w:rsid w:val="05853FDE"/>
    <w:rsid w:val="05C17D22"/>
    <w:rsid w:val="07254833"/>
    <w:rsid w:val="0BE82A51"/>
    <w:rsid w:val="0CAF20FC"/>
    <w:rsid w:val="0E1E5C26"/>
    <w:rsid w:val="10B82FC8"/>
    <w:rsid w:val="112C0B5F"/>
    <w:rsid w:val="122F7C2C"/>
    <w:rsid w:val="13117E16"/>
    <w:rsid w:val="167858C4"/>
    <w:rsid w:val="169661BD"/>
    <w:rsid w:val="19F03CFF"/>
    <w:rsid w:val="1A490240"/>
    <w:rsid w:val="1B2C5B69"/>
    <w:rsid w:val="1DBE28EC"/>
    <w:rsid w:val="1E441F77"/>
    <w:rsid w:val="1F4E3279"/>
    <w:rsid w:val="2056423F"/>
    <w:rsid w:val="22846C17"/>
    <w:rsid w:val="23FE23BA"/>
    <w:rsid w:val="278C597B"/>
    <w:rsid w:val="28BC29B5"/>
    <w:rsid w:val="297A6A61"/>
    <w:rsid w:val="2BE67804"/>
    <w:rsid w:val="2BFC6B19"/>
    <w:rsid w:val="2C17781A"/>
    <w:rsid w:val="2D4E5E73"/>
    <w:rsid w:val="2DA1183E"/>
    <w:rsid w:val="2DF4189A"/>
    <w:rsid w:val="2F303F9A"/>
    <w:rsid w:val="30A538AC"/>
    <w:rsid w:val="30FC42A9"/>
    <w:rsid w:val="32C3778F"/>
    <w:rsid w:val="351F2ABF"/>
    <w:rsid w:val="36265AA4"/>
    <w:rsid w:val="37741C9B"/>
    <w:rsid w:val="385E5C3D"/>
    <w:rsid w:val="396E26F8"/>
    <w:rsid w:val="399300D6"/>
    <w:rsid w:val="3A582CBB"/>
    <w:rsid w:val="3F5A6C55"/>
    <w:rsid w:val="3FB10629"/>
    <w:rsid w:val="3FE150E5"/>
    <w:rsid w:val="3FF332E8"/>
    <w:rsid w:val="401E1246"/>
    <w:rsid w:val="40A46027"/>
    <w:rsid w:val="418B716B"/>
    <w:rsid w:val="43AE57C8"/>
    <w:rsid w:val="43FD6805"/>
    <w:rsid w:val="443A4827"/>
    <w:rsid w:val="451037EC"/>
    <w:rsid w:val="46380221"/>
    <w:rsid w:val="46F006B9"/>
    <w:rsid w:val="47816DBA"/>
    <w:rsid w:val="480C62DC"/>
    <w:rsid w:val="48732B14"/>
    <w:rsid w:val="4A1875F7"/>
    <w:rsid w:val="4D6E698D"/>
    <w:rsid w:val="4EFC4BE0"/>
    <w:rsid w:val="522D7B89"/>
    <w:rsid w:val="52E66F2F"/>
    <w:rsid w:val="53BE37CA"/>
    <w:rsid w:val="54195BEC"/>
    <w:rsid w:val="56765154"/>
    <w:rsid w:val="56BD447B"/>
    <w:rsid w:val="56EF053B"/>
    <w:rsid w:val="56F476E3"/>
    <w:rsid w:val="58AA6A1F"/>
    <w:rsid w:val="596177DE"/>
    <w:rsid w:val="599A4607"/>
    <w:rsid w:val="5B3E5BA1"/>
    <w:rsid w:val="5B4A6B4E"/>
    <w:rsid w:val="5CE961F7"/>
    <w:rsid w:val="5F05573D"/>
    <w:rsid w:val="5F4547CB"/>
    <w:rsid w:val="5F930168"/>
    <w:rsid w:val="5F9C60CB"/>
    <w:rsid w:val="5FD1473A"/>
    <w:rsid w:val="62A53D47"/>
    <w:rsid w:val="641C2F86"/>
    <w:rsid w:val="64596EAC"/>
    <w:rsid w:val="64790B2C"/>
    <w:rsid w:val="64AB17DA"/>
    <w:rsid w:val="65EE62D5"/>
    <w:rsid w:val="679D53A1"/>
    <w:rsid w:val="68454530"/>
    <w:rsid w:val="68F50722"/>
    <w:rsid w:val="69415875"/>
    <w:rsid w:val="6C330AFB"/>
    <w:rsid w:val="6D9753AF"/>
    <w:rsid w:val="6F0C0811"/>
    <w:rsid w:val="70EF0602"/>
    <w:rsid w:val="74537F52"/>
    <w:rsid w:val="74B03E28"/>
    <w:rsid w:val="75822809"/>
    <w:rsid w:val="76C621DB"/>
    <w:rsid w:val="77DC5E02"/>
    <w:rsid w:val="79F118D1"/>
    <w:rsid w:val="7A70031B"/>
    <w:rsid w:val="7DED54C5"/>
    <w:rsid w:val="7E8C66D5"/>
    <w:rsid w:val="7F3452F5"/>
    <w:rsid w:val="7F6E5334"/>
    <w:rsid w:val="7F9856CC"/>
    <w:rsid w:val="FD75DD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6"/>
    <w:unhideWhenUsed/>
    <w:qFormat/>
    <w:uiPriority w:val="99"/>
    <w:pPr>
      <w:spacing w:after="120"/>
    </w:pPr>
  </w:style>
  <w:style w:type="paragraph" w:styleId="3">
    <w:name w:val="Balloon Text"/>
    <w:basedOn w:val="1"/>
    <w:link w:val="17"/>
    <w:unhideWhenUsed/>
    <w:qFormat/>
    <w:uiPriority w:val="99"/>
    <w:rPr>
      <w:sz w:val="18"/>
      <w:szCs w:val="18"/>
    </w:rPr>
  </w:style>
  <w:style w:type="paragraph" w:styleId="4">
    <w:name w:val="footer"/>
    <w:basedOn w:val="1"/>
    <w:link w:val="31"/>
    <w:qFormat/>
    <w:uiPriority w:val="99"/>
    <w:pPr>
      <w:tabs>
        <w:tab w:val="center" w:pos="4153"/>
        <w:tab w:val="right" w:pos="8306"/>
      </w:tabs>
      <w:snapToGrid w:val="0"/>
      <w:jc w:val="left"/>
    </w:pPr>
    <w:rPr>
      <w:kern w:val="0"/>
      <w:sz w:val="18"/>
      <w:szCs w:val="18"/>
    </w:rPr>
  </w:style>
  <w:style w:type="paragraph" w:styleId="5">
    <w:name w:val="header"/>
    <w:basedOn w:val="1"/>
    <w:semiHidden/>
    <w:qFormat/>
    <w:uiPriority w:val="99"/>
    <w:pPr>
      <w:pBdr>
        <w:bottom w:val="single" w:color="auto" w:sz="6" w:space="1"/>
      </w:pBdr>
      <w:tabs>
        <w:tab w:val="center" w:pos="4153"/>
        <w:tab w:val="right" w:pos="8306"/>
      </w:tabs>
      <w:snapToGrid w:val="0"/>
      <w:jc w:val="center"/>
    </w:pPr>
    <w:rPr>
      <w:kern w:val="0"/>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章标题"/>
    <w:next w:val="1"/>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11">
    <w:name w:val="一级条标题"/>
    <w:basedOn w:val="12"/>
    <w:next w:val="14"/>
    <w:qFormat/>
    <w:uiPriority w:val="0"/>
    <w:pPr>
      <w:tabs>
        <w:tab w:val="left" w:pos="0"/>
        <w:tab w:val="left" w:pos="360"/>
      </w:tabs>
      <w:spacing w:beforeLines="50" w:afterLines="50"/>
      <w:outlineLvl w:val="2"/>
    </w:pPr>
    <w:rPr>
      <w:rFonts w:ascii="黑体" w:hAnsi="Times New Roman" w:eastAsia="黑体" w:cs="Times New Roman"/>
      <w:sz w:val="21"/>
      <w:szCs w:val="21"/>
      <w:lang w:val="en-US" w:eastAsia="zh-CN" w:bidi="ar-SA"/>
    </w:rPr>
  </w:style>
  <w:style w:type="paragraph" w:customStyle="1" w:styleId="12">
    <w:name w:val="附录一级条标题"/>
    <w:basedOn w:val="13"/>
    <w:next w:val="14"/>
    <w:qFormat/>
    <w:uiPriority w:val="0"/>
    <w:pPr>
      <w:numPr>
        <w:ilvl w:val="2"/>
        <w:numId w:val="2"/>
      </w:numPr>
      <w:tabs>
        <w:tab w:val="left" w:pos="360"/>
      </w:tabs>
      <w:autoSpaceDN w:val="0"/>
      <w:spacing w:before="50" w:beforeLines="50" w:after="50" w:afterLines="50"/>
      <w:outlineLvl w:val="2"/>
    </w:pPr>
  </w:style>
  <w:style w:type="paragraph" w:customStyle="1" w:styleId="13">
    <w:name w:val="附录章标题"/>
    <w:next w:val="14"/>
    <w:qFormat/>
    <w:uiPriority w:val="0"/>
    <w:pPr>
      <w:numPr>
        <w:ilvl w:val="1"/>
        <w:numId w:val="2"/>
      </w:numPr>
      <w:tabs>
        <w:tab w:val="left" w:pos="360"/>
      </w:tabs>
      <w:wordWrap w:val="0"/>
      <w:overflowPunct w:val="0"/>
      <w:autoSpaceDE w:val="0"/>
      <w:spacing w:before="100" w:beforeLines="100" w:after="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4">
    <w:name w:val="段"/>
    <w:link w:val="28"/>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5">
    <w:name w:val="二级条标题"/>
    <w:basedOn w:val="11"/>
    <w:next w:val="14"/>
    <w:link w:val="29"/>
    <w:qFormat/>
    <w:uiPriority w:val="0"/>
    <w:pPr>
      <w:spacing w:before="50" w:after="50"/>
      <w:outlineLvl w:val="3"/>
    </w:pPr>
    <w:rPr>
      <w:rFonts w:ascii="Times New Roman" w:eastAsia="宋体"/>
    </w:rPr>
  </w:style>
  <w:style w:type="paragraph" w:customStyle="1" w:styleId="16">
    <w:name w:val="三级条标题"/>
    <w:basedOn w:val="1"/>
    <w:next w:val="14"/>
    <w:qFormat/>
    <w:uiPriority w:val="0"/>
    <w:pPr>
      <w:numPr>
        <w:ilvl w:val="3"/>
        <w:numId w:val="3"/>
      </w:numPr>
    </w:pPr>
  </w:style>
  <w:style w:type="character" w:customStyle="1" w:styleId="17">
    <w:name w:val="批注框文本 Char"/>
    <w:basedOn w:val="9"/>
    <w:link w:val="3"/>
    <w:semiHidden/>
    <w:qFormat/>
    <w:uiPriority w:val="99"/>
    <w:rPr>
      <w:rFonts w:ascii="Times New Roman" w:hAnsi="Times New Roman" w:eastAsia="宋体" w:cs="Times New Roman"/>
      <w:sz w:val="18"/>
      <w:szCs w:val="18"/>
    </w:rPr>
  </w:style>
  <w:style w:type="paragraph" w:customStyle="1" w:styleId="18">
    <w:name w:val="前言、引言标题"/>
    <w:next w:val="14"/>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9">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20">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21">
    <w:name w:val="Table Paragraph"/>
    <w:basedOn w:val="1"/>
    <w:qFormat/>
    <w:uiPriority w:val="0"/>
    <w:pPr>
      <w:spacing w:before="160"/>
      <w:jc w:val="center"/>
    </w:pPr>
    <w:rPr>
      <w:rFonts w:ascii="宋体" w:hAnsi="宋体" w:cs="宋体"/>
      <w:lang w:val="zh-CN" w:bidi="zh-CN"/>
    </w:rPr>
  </w:style>
  <w:style w:type="paragraph" w:customStyle="1" w:styleId="22">
    <w:name w:val="四级条标题"/>
    <w:basedOn w:val="1"/>
    <w:next w:val="14"/>
    <w:qFormat/>
    <w:uiPriority w:val="0"/>
    <w:pPr>
      <w:widowControl/>
      <w:tabs>
        <w:tab w:val="left" w:pos="0"/>
      </w:tabs>
      <w:spacing w:beforeLines="50" w:afterLines="50"/>
      <w:ind w:left="315"/>
      <w:jc w:val="left"/>
      <w:outlineLvl w:val="5"/>
    </w:pPr>
    <w:rPr>
      <w:kern w:val="0"/>
      <w:szCs w:val="21"/>
    </w:rPr>
  </w:style>
  <w:style w:type="paragraph" w:customStyle="1" w:styleId="23">
    <w:name w:val="五级条标题"/>
    <w:basedOn w:val="22"/>
    <w:next w:val="14"/>
    <w:qFormat/>
    <w:uiPriority w:val="0"/>
    <w:pPr>
      <w:ind w:left="0"/>
      <w:outlineLvl w:val="6"/>
    </w:pPr>
  </w:style>
  <w:style w:type="paragraph" w:customStyle="1" w:styleId="24">
    <w:name w:val="封面标准文稿编辑信息"/>
    <w:basedOn w:val="1"/>
    <w:qFormat/>
    <w:uiPriority w:val="0"/>
    <w:pPr>
      <w:framePr w:w="9639" w:h="6917" w:hRule="exact" w:wrap="around" w:vAnchor="page" w:hAnchor="page" w:xAlign="center" w:y="6408" w:anchorLock="1"/>
      <w:spacing w:before="180" w:after="160" w:line="180" w:lineRule="exact"/>
      <w:jc w:val="center"/>
      <w:textAlignment w:val="center"/>
    </w:pPr>
    <w:rPr>
      <w:kern w:val="0"/>
      <w:szCs w:val="28"/>
    </w:rPr>
  </w:style>
  <w:style w:type="paragraph" w:customStyle="1" w:styleId="25">
    <w:name w:val="WW-Table Contents11111111111111111111"/>
    <w:basedOn w:val="2"/>
    <w:qFormat/>
    <w:uiPriority w:val="0"/>
    <w:pPr>
      <w:suppressLineNumbers/>
      <w:suppressAutoHyphens/>
      <w:jc w:val="left"/>
    </w:pPr>
    <w:rPr>
      <w:rFonts w:eastAsia="Lucida Sans Unicode"/>
      <w:kern w:val="0"/>
      <w:sz w:val="24"/>
      <w:szCs w:val="20"/>
    </w:rPr>
  </w:style>
  <w:style w:type="character" w:customStyle="1" w:styleId="26">
    <w:name w:val="正文文本 Char"/>
    <w:basedOn w:val="9"/>
    <w:link w:val="2"/>
    <w:semiHidden/>
    <w:qFormat/>
    <w:uiPriority w:val="99"/>
    <w:rPr>
      <w:kern w:val="2"/>
      <w:sz w:val="21"/>
      <w:szCs w:val="24"/>
    </w:rPr>
  </w:style>
  <w:style w:type="paragraph" w:customStyle="1" w:styleId="27">
    <w:name w:val="二级无"/>
    <w:basedOn w:val="15"/>
    <w:qFormat/>
    <w:uiPriority w:val="0"/>
    <w:pPr>
      <w:tabs>
        <w:tab w:val="left" w:pos="283"/>
      </w:tabs>
      <w:spacing w:beforeLines="0" w:afterLines="0"/>
    </w:pPr>
    <w:rPr>
      <w:rFonts w:ascii="宋体" w:hAnsi="宋体"/>
    </w:rPr>
  </w:style>
  <w:style w:type="character" w:customStyle="1" w:styleId="28">
    <w:name w:val="段 Char"/>
    <w:link w:val="14"/>
    <w:qFormat/>
    <w:uiPriority w:val="0"/>
    <w:rPr>
      <w:rFonts w:ascii="宋体"/>
      <w:sz w:val="21"/>
    </w:rPr>
  </w:style>
  <w:style w:type="character" w:customStyle="1" w:styleId="29">
    <w:name w:val="二级条标题 Char"/>
    <w:link w:val="15"/>
    <w:qFormat/>
    <w:uiPriority w:val="0"/>
    <w:rPr>
      <w:sz w:val="21"/>
      <w:szCs w:val="21"/>
    </w:rPr>
  </w:style>
  <w:style w:type="paragraph" w:customStyle="1" w:styleId="30">
    <w:name w:val="列出段落1"/>
    <w:basedOn w:val="1"/>
    <w:unhideWhenUsed/>
    <w:qFormat/>
    <w:uiPriority w:val="99"/>
    <w:pPr>
      <w:ind w:firstLine="420" w:firstLineChars="200"/>
    </w:pPr>
  </w:style>
  <w:style w:type="character" w:customStyle="1" w:styleId="31">
    <w:name w:val="页脚 Char"/>
    <w:basedOn w:val="9"/>
    <w:link w:val="4"/>
    <w:qFormat/>
    <w:uiPriority w:val="99"/>
    <w:rPr>
      <w:rFonts w:ascii="Times New Roman" w:hAnsi="Times New Roman"/>
      <w:sz w:val="18"/>
      <w:szCs w:val="18"/>
    </w:rPr>
  </w:style>
  <w:style w:type="paragraph" w:styleId="32">
    <w:name w:val="List Paragraph"/>
    <w:basedOn w:val="1"/>
    <w:qFormat/>
    <w:uiPriority w:val="34"/>
    <w:pPr>
      <w:ind w:firstLine="420" w:firstLineChars="200"/>
    </w:pPr>
  </w:style>
  <w:style w:type="paragraph" w:customStyle="1" w:styleId="33">
    <w:name w:val="三级无"/>
    <w:basedOn w:val="16"/>
    <w:qFormat/>
    <w:uiPriority w:val="0"/>
    <w:pPr>
      <w:spacing w:before="0" w:beforeLines="0" w:after="0" w:afterLines="0"/>
    </w:pPr>
    <w:rPr>
      <w:rFonts w:ascii="宋体" w:eastAsia="宋体"/>
    </w:rPr>
  </w:style>
  <w:style w:type="paragraph" w:customStyle="1" w:styleId="34">
    <w:name w:val="一级无"/>
    <w:basedOn w:val="11"/>
    <w:qFormat/>
    <w:uiPriority w:val="0"/>
    <w:pPr>
      <w:spacing w:before="0" w:beforeLines="0" w:after="0" w:afterLines="0"/>
    </w:pPr>
    <w:rPr>
      <w:rFonts w:ascii="宋体" w:eastAsia="宋体"/>
    </w:rPr>
  </w:style>
  <w:style w:type="paragraph" w:customStyle="1" w:styleId="35">
    <w:name w:val="终结线"/>
    <w:basedOn w:val="1"/>
    <w:qFormat/>
    <w:uiPriority w:val="0"/>
    <w:pPr>
      <w:framePr w:hSpace="181" w:vSpace="181" w:wrap="around" w:vAnchor="text" w:hAnchor="margin" w:xAlign="center" w:y="285"/>
    </w:pPr>
  </w:style>
  <w:style w:type="paragraph" w:customStyle="1" w:styleId="3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7">
    <w:name w:val="正文表标题"/>
    <w:next w:val="14"/>
    <w:qFormat/>
    <w:uiPriority w:val="0"/>
    <w:p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38">
    <w:name w:val="标准书脚_偶数页"/>
    <w:qFormat/>
    <w:uiPriority w:val="0"/>
    <w:pPr>
      <w:spacing w:before="120"/>
      <w:ind w:left="221"/>
    </w:pPr>
    <w:rPr>
      <w:rFonts w:ascii="宋体"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1604</Words>
  <Characters>9146</Characters>
  <Lines>76</Lines>
  <Paragraphs>21</Paragraphs>
  <TotalTime>5</TotalTime>
  <ScaleCrop>false</ScaleCrop>
  <LinksUpToDate>false</LinksUpToDate>
  <CharactersWithSpaces>10729</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2020-11-20T00:20:00Z</dcterms:created>
  <dc:creator>dell</dc:creator>
  <cp:lastModifiedBy>杨子林</cp:lastModifiedBy>
  <cp:lastPrinted>2020-11-16T15:32:00Z</cp:lastPrinted>
  <dcterms:modified xsi:type="dcterms:W3CDTF">2021-10-08T12:17:08Z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8B4303D211A84DC2A486B212A0BCFC39</vt:lpwstr>
  </property>
</Properties>
</file>