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4BA0BD">
      <w:pPr>
        <w:pageBreakBefore w:val="0"/>
        <w:kinsoku/>
        <w:overflowPunct/>
        <w:topLinePunct w:val="0"/>
        <w:bidi w:val="0"/>
        <w:rPr>
          <w:rFonts w:hint="eastAsia" w:ascii="仿宋" w:hAnsi="仿宋" w:eastAsia="仿宋" w:cs="仿宋"/>
          <w:w w:val="90"/>
          <w:sz w:val="28"/>
          <w:szCs w:val="28"/>
        </w:rPr>
      </w:pPr>
    </w:p>
    <w:p w14:paraId="3CE187E0">
      <w:pPr>
        <w:pageBreakBefore w:val="0"/>
        <w:kinsoku/>
        <w:overflowPunct/>
        <w:topLinePunct w:val="0"/>
        <w:bidi w:val="0"/>
        <w:rPr>
          <w:rFonts w:hint="eastAsia" w:ascii="仿宋" w:hAnsi="仿宋" w:eastAsia="仿宋" w:cs="仿宋"/>
          <w:w w:val="90"/>
          <w:sz w:val="28"/>
          <w:szCs w:val="28"/>
        </w:rPr>
      </w:pPr>
    </w:p>
    <w:p w14:paraId="72400457">
      <w:pPr>
        <w:pageBreakBefore w:val="0"/>
        <w:kinsoku/>
        <w:overflowPunct/>
        <w:topLinePunct w:val="0"/>
        <w:bidi w:val="0"/>
        <w:jc w:val="center"/>
        <w:rPr>
          <w:rFonts w:hint="eastAsia" w:ascii="微软雅黑" w:hAnsi="微软雅黑" w:eastAsia="微软雅黑" w:cs="微软雅黑"/>
          <w:b w:val="0"/>
          <w:bCs/>
          <w:w w:val="90"/>
          <w:sz w:val="84"/>
          <w:szCs w:val="84"/>
        </w:rPr>
      </w:pPr>
      <w:r>
        <w:rPr>
          <w:rFonts w:hint="eastAsia" w:ascii="微软雅黑" w:hAnsi="微软雅黑" w:eastAsia="微软雅黑" w:cs="微软雅黑"/>
          <w:b w:val="0"/>
          <w:bCs/>
          <w:w w:val="90"/>
          <w:sz w:val="84"/>
          <w:szCs w:val="84"/>
        </w:rPr>
        <w:t>20</w:t>
      </w:r>
      <w:r>
        <w:rPr>
          <w:rFonts w:hint="eastAsia" w:ascii="微软雅黑" w:hAnsi="微软雅黑" w:eastAsia="微软雅黑" w:cs="微软雅黑"/>
          <w:b w:val="0"/>
          <w:bCs/>
          <w:w w:val="90"/>
          <w:sz w:val="84"/>
          <w:szCs w:val="84"/>
          <w:lang w:val="en-US" w:eastAsia="zh-CN"/>
        </w:rPr>
        <w:t>24</w:t>
      </w:r>
      <w:r>
        <w:rPr>
          <w:rFonts w:hint="eastAsia" w:ascii="微软雅黑" w:hAnsi="微软雅黑" w:eastAsia="微软雅黑" w:cs="微软雅黑"/>
          <w:b w:val="0"/>
          <w:bCs/>
          <w:w w:val="90"/>
          <w:sz w:val="84"/>
          <w:szCs w:val="84"/>
        </w:rPr>
        <w:t>年社会责任报告</w:t>
      </w:r>
    </w:p>
    <w:p w14:paraId="5EBD9BBF">
      <w:pPr>
        <w:pStyle w:val="31"/>
        <w:pageBreakBefore w:val="0"/>
        <w:kinsoku/>
        <w:overflowPunct/>
        <w:topLinePunct w:val="0"/>
        <w:bidi w:val="0"/>
        <w:rPr>
          <w:rFonts w:hint="eastAsia" w:ascii="仿宋" w:hAnsi="仿宋" w:eastAsia="仿宋" w:cs="仿宋"/>
          <w:b/>
          <w:w w:val="90"/>
          <w:sz w:val="84"/>
          <w:szCs w:val="84"/>
        </w:rPr>
      </w:pPr>
    </w:p>
    <w:p w14:paraId="795C5132">
      <w:pPr>
        <w:pageBreakBefore w:val="0"/>
        <w:kinsoku/>
        <w:overflowPunct/>
        <w:topLinePunct w:val="0"/>
        <w:bidi w:val="0"/>
        <w:jc w:val="center"/>
        <w:rPr>
          <w:rFonts w:hint="eastAsia" w:ascii="仿宋" w:hAnsi="仿宋" w:eastAsia="仿宋" w:cs="仿宋"/>
          <w:b/>
          <w:w w:val="90"/>
          <w:sz w:val="28"/>
          <w:szCs w:val="28"/>
        </w:rPr>
      </w:pPr>
    </w:p>
    <w:p w14:paraId="0A76F4CE">
      <w:pPr>
        <w:pageBreakBefore w:val="0"/>
        <w:kinsoku/>
        <w:overflowPunct/>
        <w:topLinePunct w:val="0"/>
        <w:bidi w:val="0"/>
        <w:jc w:val="center"/>
        <w:rPr>
          <w:rFonts w:hint="eastAsia" w:ascii="仿宋" w:hAnsi="仿宋" w:eastAsia="仿宋" w:cs="仿宋"/>
          <w:b/>
          <w:w w:val="90"/>
          <w:sz w:val="28"/>
          <w:szCs w:val="28"/>
        </w:rPr>
      </w:pPr>
    </w:p>
    <w:p w14:paraId="578B2259">
      <w:pPr>
        <w:pageBreakBefore w:val="0"/>
        <w:kinsoku/>
        <w:overflowPunct/>
        <w:topLinePunct w:val="0"/>
        <w:bidi w:val="0"/>
        <w:jc w:val="center"/>
        <w:rPr>
          <w:rFonts w:hint="eastAsia" w:ascii="仿宋" w:hAnsi="仿宋" w:eastAsia="仿宋" w:cs="仿宋"/>
          <w:w w:val="90"/>
          <w:sz w:val="28"/>
          <w:szCs w:val="28"/>
        </w:rPr>
      </w:pPr>
      <w:bookmarkStart w:id="0" w:name="_Toc29315"/>
      <w:bookmarkStart w:id="1" w:name="_Toc16322"/>
      <w:r>
        <w:rPr>
          <w:rFonts w:hint="eastAsia" w:ascii="仿宋" w:hAnsi="仿宋" w:eastAsia="仿宋" w:cs="仿宋"/>
          <w:sz w:val="28"/>
          <w:szCs w:val="28"/>
        </w:rPr>
        <w:drawing>
          <wp:inline distT="0" distB="0" distL="114300" distR="114300">
            <wp:extent cx="5978525" cy="3071495"/>
            <wp:effectExtent l="0" t="0" r="3175" b="14605"/>
            <wp:docPr id="3" name="图片 1" descr="D:\文件\航拍图\6e79f7a1575ecfe339f7cadf2b44c7a.jpg6e79f7a1575ecfe339f7cadf2b44c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文件\航拍图\6e79f7a1575ecfe339f7cadf2b44c7a.jpg6e79f7a1575ecfe339f7cadf2b44c7a"/>
                    <pic:cNvPicPr>
                      <a:picLocks noChangeAspect="1"/>
                    </pic:cNvPicPr>
                  </pic:nvPicPr>
                  <pic:blipFill>
                    <a:blip r:embed="rId6"/>
                    <a:stretch>
                      <a:fillRect/>
                    </a:stretch>
                  </pic:blipFill>
                  <pic:spPr>
                    <a:xfrm>
                      <a:off x="0" y="0"/>
                      <a:ext cx="5978525" cy="3071495"/>
                    </a:xfrm>
                    <a:prstGeom prst="rect">
                      <a:avLst/>
                    </a:prstGeom>
                    <a:noFill/>
                    <a:ln>
                      <a:noFill/>
                    </a:ln>
                  </pic:spPr>
                </pic:pic>
              </a:graphicData>
            </a:graphic>
          </wp:inline>
        </w:drawing>
      </w:r>
      <w:bookmarkEnd w:id="0"/>
      <w:bookmarkEnd w:id="1"/>
    </w:p>
    <w:p w14:paraId="695B7B23">
      <w:pPr>
        <w:pageBreakBefore w:val="0"/>
        <w:kinsoku/>
        <w:overflowPunct/>
        <w:topLinePunct w:val="0"/>
        <w:bidi w:val="0"/>
        <w:rPr>
          <w:rFonts w:hint="eastAsia" w:ascii="仿宋" w:hAnsi="仿宋" w:eastAsia="仿宋" w:cs="仿宋"/>
          <w:w w:val="90"/>
          <w:sz w:val="28"/>
          <w:szCs w:val="28"/>
        </w:rPr>
      </w:pPr>
    </w:p>
    <w:p w14:paraId="55E48F06">
      <w:pPr>
        <w:pageBreakBefore w:val="0"/>
        <w:kinsoku/>
        <w:overflowPunct/>
        <w:topLinePunct w:val="0"/>
        <w:bidi w:val="0"/>
        <w:rPr>
          <w:rFonts w:hint="eastAsia" w:ascii="仿宋" w:hAnsi="仿宋" w:eastAsia="仿宋" w:cs="仿宋"/>
          <w:w w:val="90"/>
          <w:sz w:val="28"/>
          <w:szCs w:val="28"/>
        </w:rPr>
      </w:pPr>
    </w:p>
    <w:p w14:paraId="08F6120C">
      <w:pPr>
        <w:pageBreakBefore w:val="0"/>
        <w:kinsoku/>
        <w:overflowPunct/>
        <w:topLinePunct w:val="0"/>
        <w:bidi w:val="0"/>
        <w:rPr>
          <w:rFonts w:hint="eastAsia" w:ascii="仿宋" w:hAnsi="仿宋" w:eastAsia="仿宋" w:cs="仿宋"/>
          <w:w w:val="90"/>
          <w:sz w:val="28"/>
          <w:szCs w:val="28"/>
        </w:rPr>
      </w:pPr>
    </w:p>
    <w:p w14:paraId="55EDBF36">
      <w:pPr>
        <w:pageBreakBefore w:val="0"/>
        <w:kinsoku/>
        <w:overflowPunct/>
        <w:topLinePunct w:val="0"/>
        <w:bidi w:val="0"/>
        <w:spacing w:line="480" w:lineRule="auto"/>
        <w:rPr>
          <w:rFonts w:hint="eastAsia" w:ascii="仿宋" w:hAnsi="仿宋" w:eastAsia="仿宋" w:cs="仿宋"/>
          <w:w w:val="90"/>
          <w:sz w:val="28"/>
          <w:szCs w:val="28"/>
        </w:rPr>
      </w:pPr>
    </w:p>
    <w:p w14:paraId="597A6B47">
      <w:pPr>
        <w:pageBreakBefore w:val="0"/>
        <w:kinsoku/>
        <w:overflowPunct/>
        <w:topLinePunct w:val="0"/>
        <w:bidi w:val="0"/>
        <w:spacing w:line="480" w:lineRule="auto"/>
        <w:jc w:val="center"/>
        <w:rPr>
          <w:rFonts w:hint="eastAsia" w:ascii="仿宋" w:hAnsi="仿宋" w:eastAsia="仿宋" w:cs="仿宋"/>
          <w:b/>
          <w:w w:val="90"/>
          <w:sz w:val="44"/>
          <w:szCs w:val="44"/>
        </w:rPr>
      </w:pPr>
      <w:r>
        <w:rPr>
          <w:rFonts w:hint="eastAsia" w:ascii="仿宋" w:hAnsi="仿宋" w:eastAsia="仿宋" w:cs="仿宋"/>
          <w:b/>
          <w:w w:val="90"/>
          <w:sz w:val="44"/>
          <w:szCs w:val="44"/>
        </w:rPr>
        <w:t>浙江易锻精密机械有限公司</w:t>
      </w:r>
    </w:p>
    <w:p w14:paraId="6EFC7E6D">
      <w:pPr>
        <w:pageBreakBefore w:val="0"/>
        <w:kinsoku/>
        <w:overflowPunct/>
        <w:topLinePunct w:val="0"/>
        <w:bidi w:val="0"/>
        <w:spacing w:line="480" w:lineRule="auto"/>
        <w:jc w:val="center"/>
        <w:rPr>
          <w:rFonts w:hint="eastAsia" w:ascii="仿宋" w:hAnsi="仿宋" w:eastAsia="仿宋" w:cs="仿宋"/>
          <w:sz w:val="44"/>
          <w:szCs w:val="44"/>
          <w:lang w:eastAsia="zh-CN"/>
        </w:rPr>
      </w:pPr>
      <w:r>
        <w:rPr>
          <w:rFonts w:hint="eastAsia" w:ascii="仿宋" w:hAnsi="仿宋" w:eastAsia="仿宋" w:cs="仿宋"/>
          <w:sz w:val="44"/>
          <w:szCs w:val="44"/>
          <w:lang w:eastAsia="zh-CN"/>
        </w:rPr>
        <w:t>二Ο</w:t>
      </w:r>
      <w:r>
        <w:rPr>
          <w:rFonts w:hint="eastAsia" w:ascii="仿宋" w:hAnsi="仿宋" w:eastAsia="仿宋" w:cs="仿宋"/>
          <w:sz w:val="44"/>
          <w:szCs w:val="44"/>
          <w:lang w:val="en-US" w:eastAsia="zh-CN"/>
        </w:rPr>
        <w:t>二五</w:t>
      </w:r>
      <w:r>
        <w:rPr>
          <w:rFonts w:hint="eastAsia" w:ascii="仿宋" w:hAnsi="仿宋" w:eastAsia="仿宋" w:cs="仿宋"/>
          <w:sz w:val="44"/>
          <w:szCs w:val="44"/>
          <w:lang w:eastAsia="zh-CN"/>
        </w:rPr>
        <w:t>年</w:t>
      </w:r>
      <w:r>
        <w:rPr>
          <w:rFonts w:hint="eastAsia" w:ascii="仿宋" w:hAnsi="仿宋" w:eastAsia="仿宋" w:cs="仿宋"/>
          <w:sz w:val="44"/>
          <w:szCs w:val="44"/>
          <w:lang w:val="en-US" w:eastAsia="zh-CN"/>
        </w:rPr>
        <w:t>三</w:t>
      </w:r>
      <w:r>
        <w:rPr>
          <w:rFonts w:hint="eastAsia" w:ascii="仿宋" w:hAnsi="仿宋" w:eastAsia="仿宋" w:cs="仿宋"/>
          <w:sz w:val="44"/>
          <w:szCs w:val="44"/>
          <w:lang w:eastAsia="zh-CN"/>
        </w:rPr>
        <w:t>月</w:t>
      </w:r>
    </w:p>
    <w:p w14:paraId="7AD9562F">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eastAsia" w:ascii="仿宋" w:hAnsi="仿宋" w:eastAsia="仿宋" w:cs="仿宋"/>
          <w:b/>
          <w:bCs/>
          <w:sz w:val="28"/>
          <w:szCs w:val="28"/>
          <w:lang w:val="en-US" w:eastAsia="zh-CN"/>
        </w:rPr>
      </w:pPr>
    </w:p>
    <w:p w14:paraId="2CD8D201">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eastAsia" w:ascii="仿宋" w:hAnsi="仿宋" w:eastAsia="仿宋" w:cs="仿宋"/>
          <w:b/>
          <w:bCs/>
          <w:sz w:val="32"/>
          <w:szCs w:val="32"/>
          <w:lang w:val="en-US" w:eastAsia="zh-CN"/>
        </w:rPr>
      </w:pPr>
    </w:p>
    <w:p w14:paraId="1113A9B5">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重要提示</w:t>
      </w:r>
    </w:p>
    <w:p w14:paraId="78A1A32D">
      <w:pPr>
        <w:pStyle w:val="15"/>
        <w:keepNext w:val="0"/>
        <w:keepLines w:val="0"/>
        <w:pageBreakBefore w:val="0"/>
        <w:widowControl w:val="0"/>
        <w:kinsoku/>
        <w:wordWrap/>
        <w:overflowPunct/>
        <w:topLinePunct w:val="0"/>
        <w:autoSpaceDE/>
        <w:autoSpaceDN/>
        <w:bidi w:val="0"/>
        <w:adjustRightInd/>
        <w:snapToGrid/>
        <w:spacing w:before="0" w:after="0" w:line="600" w:lineRule="exact"/>
        <w:jc w:val="left"/>
        <w:textAlignment w:val="auto"/>
        <w:rPr>
          <w:rFonts w:hint="eastAsia" w:ascii="仿宋" w:hAnsi="仿宋" w:eastAsia="仿宋" w:cs="仿宋"/>
          <w:sz w:val="28"/>
          <w:szCs w:val="28"/>
          <w:u w:val="thick"/>
          <w:lang w:val="en-US" w:eastAsia="zh-CN"/>
        </w:rPr>
      </w:pPr>
      <w:r>
        <w:rPr>
          <w:rFonts w:hint="eastAsia" w:ascii="仿宋" w:hAnsi="仿宋" w:eastAsia="仿宋" w:cs="仿宋"/>
          <w:sz w:val="28"/>
          <w:szCs w:val="28"/>
          <w:u w:val="thick"/>
          <w:lang w:val="en-US" w:eastAsia="zh-CN"/>
        </w:rPr>
        <w:t xml:space="preserve">                                                         </w:t>
      </w:r>
    </w:p>
    <w:p w14:paraId="3511EB3D">
      <w:pPr>
        <w:pStyle w:val="15"/>
        <w:keepNext w:val="0"/>
        <w:keepLines w:val="0"/>
        <w:pageBreakBefore w:val="0"/>
        <w:widowControl w:val="0"/>
        <w:kinsoku/>
        <w:wordWrap/>
        <w:overflowPunct/>
        <w:topLinePunct w:val="0"/>
        <w:autoSpaceDE/>
        <w:autoSpaceDN/>
        <w:bidi w:val="0"/>
        <w:adjustRightInd/>
        <w:snapToGrid/>
        <w:spacing w:before="0" w:after="0" w:line="600" w:lineRule="exact"/>
        <w:ind w:firstLine="562"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sz w:val="28"/>
          <w:szCs w:val="28"/>
          <w:lang w:val="en-US" w:eastAsia="zh-CN"/>
        </w:rPr>
        <w:drawing>
          <wp:anchor distT="0" distB="0" distL="114300" distR="114300" simplePos="0" relativeHeight="251659264" behindDoc="0" locked="0" layoutInCell="1" allowOverlap="1">
            <wp:simplePos x="0" y="0"/>
            <wp:positionH relativeFrom="column">
              <wp:posOffset>2179955</wp:posOffset>
            </wp:positionH>
            <wp:positionV relativeFrom="paragraph">
              <wp:posOffset>431165</wp:posOffset>
            </wp:positionV>
            <wp:extent cx="1932305" cy="1932305"/>
            <wp:effectExtent l="0" t="0" r="0" b="12065"/>
            <wp:wrapNone/>
            <wp:docPr id="5" name="图片 5" descr="易锻公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易锻公章"/>
                    <pic:cNvPicPr>
                      <a:picLocks noChangeAspect="1"/>
                    </pic:cNvPicPr>
                  </pic:nvPicPr>
                  <pic:blipFill>
                    <a:blip r:embed="rId7"/>
                    <a:stretch>
                      <a:fillRect/>
                    </a:stretch>
                  </pic:blipFill>
                  <pic:spPr>
                    <a:xfrm rot="16200000">
                      <a:off x="0" y="0"/>
                      <a:ext cx="1932305" cy="1932305"/>
                    </a:xfrm>
                    <a:prstGeom prst="rect">
                      <a:avLst/>
                    </a:prstGeom>
                  </pic:spPr>
                </pic:pic>
              </a:graphicData>
            </a:graphic>
          </wp:anchor>
        </w:drawing>
      </w:r>
      <w:r>
        <w:rPr>
          <w:rFonts w:hint="eastAsia" w:ascii="仿宋" w:hAnsi="仿宋" w:eastAsia="仿宋" w:cs="仿宋"/>
          <w:b w:val="0"/>
          <w:bCs w:val="0"/>
          <w:sz w:val="28"/>
          <w:szCs w:val="28"/>
          <w:lang w:val="en-US" w:eastAsia="zh-CN"/>
        </w:rPr>
        <w:t>本公司管理层保证本报告内容不存在任何虚假记载、误导性陈述、或重大遗漏并对其内容的真实性、准确性和完整性承担个别及连带责任。</w:t>
      </w:r>
    </w:p>
    <w:p w14:paraId="00B2636C">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u w:val="thick"/>
          <w:lang w:val="en-US" w:eastAsia="zh-CN"/>
        </w:rPr>
      </w:pPr>
      <w:r>
        <w:rPr>
          <w:rFonts w:hint="eastAsia" w:ascii="仿宋" w:hAnsi="仿宋" w:eastAsia="仿宋" w:cs="仿宋"/>
          <w:sz w:val="28"/>
          <w:szCs w:val="28"/>
          <w:u w:val="thick"/>
          <w:lang w:val="en-US" w:eastAsia="zh-CN"/>
        </w:rPr>
        <w:t xml:space="preserve">                                                                                      </w:t>
      </w:r>
    </w:p>
    <w:p w14:paraId="7215738A">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3713190F">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二零二五年三月</w:t>
      </w:r>
    </w:p>
    <w:p w14:paraId="1EBAF397">
      <w:pPr>
        <w:pStyle w:val="15"/>
        <w:keepNext w:val="0"/>
        <w:keepLines w:val="0"/>
        <w:pageBreakBefore w:val="0"/>
        <w:widowControl w:val="0"/>
        <w:kinsoku/>
        <w:wordWrap/>
        <w:overflowPunct/>
        <w:topLinePunct w:val="0"/>
        <w:autoSpaceDE/>
        <w:autoSpaceDN/>
        <w:bidi w:val="0"/>
        <w:adjustRightInd/>
        <w:snapToGrid/>
        <w:spacing w:before="0" w:after="0" w:line="600" w:lineRule="exact"/>
        <w:textAlignment w:val="auto"/>
        <w:rPr>
          <w:rFonts w:hint="eastAsia" w:ascii="仿宋" w:hAnsi="仿宋" w:eastAsia="仿宋" w:cs="仿宋"/>
          <w:sz w:val="28"/>
          <w:szCs w:val="28"/>
          <w:lang w:val="en-US" w:eastAsia="zh-CN"/>
        </w:rPr>
      </w:pPr>
    </w:p>
    <w:p w14:paraId="1ACB757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8"/>
          <w:szCs w:val="28"/>
          <w:lang w:val="en-US" w:eastAsia="zh-CN"/>
        </w:rPr>
      </w:pPr>
    </w:p>
    <w:p w14:paraId="71D18B12">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2F605AEF">
      <w:pPr>
        <w:pStyle w:val="15"/>
        <w:keepNext w:val="0"/>
        <w:keepLines w:val="0"/>
        <w:pageBreakBefore w:val="0"/>
        <w:widowControl w:val="0"/>
        <w:kinsoku/>
        <w:wordWrap/>
        <w:overflowPunct/>
        <w:topLinePunct w:val="0"/>
        <w:autoSpaceDE/>
        <w:autoSpaceDN/>
        <w:bidi w:val="0"/>
        <w:adjustRightInd/>
        <w:snapToGrid/>
        <w:spacing w:before="0" w:after="0" w:line="600" w:lineRule="exact"/>
        <w:textAlignment w:val="auto"/>
        <w:rPr>
          <w:rFonts w:hint="eastAsia" w:ascii="仿宋" w:hAnsi="仿宋" w:eastAsia="仿宋" w:cs="仿宋"/>
          <w:sz w:val="28"/>
          <w:szCs w:val="28"/>
          <w:lang w:val="en-US" w:eastAsia="zh-CN"/>
        </w:rPr>
      </w:pPr>
    </w:p>
    <w:p w14:paraId="32FCCDC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lang w:val="en-US" w:eastAsia="zh-CN"/>
        </w:rPr>
      </w:pPr>
    </w:p>
    <w:p w14:paraId="54EFCCF1">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3B3C7A9B">
      <w:pPr>
        <w:pStyle w:val="15"/>
        <w:keepNext w:val="0"/>
        <w:keepLines w:val="0"/>
        <w:pageBreakBefore w:val="0"/>
        <w:widowControl w:val="0"/>
        <w:kinsoku/>
        <w:wordWrap/>
        <w:overflowPunct/>
        <w:topLinePunct w:val="0"/>
        <w:autoSpaceDE/>
        <w:autoSpaceDN/>
        <w:bidi w:val="0"/>
        <w:adjustRightInd/>
        <w:snapToGrid/>
        <w:spacing w:before="0" w:after="0" w:line="600" w:lineRule="exact"/>
        <w:textAlignment w:val="auto"/>
        <w:rPr>
          <w:rFonts w:hint="eastAsia" w:ascii="仿宋" w:hAnsi="仿宋" w:eastAsia="仿宋" w:cs="仿宋"/>
          <w:sz w:val="28"/>
          <w:szCs w:val="28"/>
          <w:lang w:val="en-US" w:eastAsia="zh-CN"/>
        </w:rPr>
      </w:pPr>
    </w:p>
    <w:p w14:paraId="68EE62DF">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8"/>
          <w:szCs w:val="28"/>
          <w:lang w:val="en-US" w:eastAsia="zh-CN"/>
        </w:rPr>
      </w:pPr>
    </w:p>
    <w:p w14:paraId="79B31F24">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147686E2">
      <w:pPr>
        <w:pStyle w:val="15"/>
        <w:keepNext w:val="0"/>
        <w:keepLines w:val="0"/>
        <w:pageBreakBefore w:val="0"/>
        <w:widowControl w:val="0"/>
        <w:kinsoku/>
        <w:wordWrap/>
        <w:overflowPunct/>
        <w:topLinePunct w:val="0"/>
        <w:autoSpaceDE/>
        <w:autoSpaceDN/>
        <w:bidi w:val="0"/>
        <w:adjustRightInd/>
        <w:snapToGrid/>
        <w:spacing w:before="0" w:after="0" w:line="600" w:lineRule="exact"/>
        <w:textAlignment w:val="auto"/>
        <w:rPr>
          <w:rFonts w:hint="eastAsia" w:ascii="仿宋" w:hAnsi="仿宋" w:eastAsia="仿宋" w:cs="仿宋"/>
          <w:sz w:val="28"/>
          <w:szCs w:val="28"/>
          <w:lang w:val="en-US" w:eastAsia="zh-CN"/>
        </w:rPr>
      </w:pPr>
    </w:p>
    <w:p w14:paraId="5EEBC7A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8"/>
          <w:szCs w:val="28"/>
          <w:lang w:val="en-US" w:eastAsia="zh-CN"/>
        </w:rPr>
      </w:pPr>
    </w:p>
    <w:p w14:paraId="4CB3DE28">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7807709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321925A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45513571">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7384F06E">
      <w:pPr>
        <w:pStyle w:val="15"/>
        <w:keepNext w:val="0"/>
        <w:keepLines w:val="0"/>
        <w:pageBreakBefore w:val="0"/>
        <w:widowControl w:val="0"/>
        <w:kinsoku/>
        <w:wordWrap/>
        <w:overflowPunct/>
        <w:topLinePunct w:val="0"/>
        <w:autoSpaceDE/>
        <w:autoSpaceDN/>
        <w:bidi w:val="0"/>
        <w:adjustRightInd/>
        <w:snapToGrid/>
        <w:spacing w:before="0" w:after="0" w:line="600" w:lineRule="exact"/>
        <w:textAlignment w:val="auto"/>
        <w:rPr>
          <w:rFonts w:hint="eastAsia" w:ascii="仿宋" w:hAnsi="仿宋" w:eastAsia="仿宋" w:cs="仿宋"/>
          <w:sz w:val="28"/>
          <w:szCs w:val="28"/>
          <w:lang w:val="en-US" w:eastAsia="zh-CN"/>
        </w:rPr>
      </w:pPr>
    </w:p>
    <w:p w14:paraId="1066FD0F">
      <w:pPr>
        <w:pStyle w:val="15"/>
        <w:keepNext w:val="0"/>
        <w:keepLines w:val="0"/>
        <w:pageBreakBefore w:val="0"/>
        <w:widowControl w:val="0"/>
        <w:kinsoku/>
        <w:wordWrap/>
        <w:overflowPunct/>
        <w:topLinePunct w:val="0"/>
        <w:autoSpaceDE/>
        <w:autoSpaceDN/>
        <w:bidi w:val="0"/>
        <w:adjustRightInd/>
        <w:snapToGrid/>
        <w:spacing w:before="0" w:after="0" w:line="600" w:lineRule="exact"/>
        <w:textAlignment w:val="auto"/>
        <w:rPr>
          <w:rFonts w:hint="eastAsia" w:ascii="仿宋" w:hAnsi="仿宋" w:eastAsia="仿宋" w:cs="仿宋"/>
          <w:sz w:val="28"/>
          <w:szCs w:val="28"/>
          <w:lang w:val="en-US" w:eastAsia="zh-CN"/>
        </w:rPr>
      </w:pPr>
    </w:p>
    <w:p w14:paraId="1DDBB348">
      <w:pPr>
        <w:pStyle w:val="15"/>
        <w:keepNext w:val="0"/>
        <w:keepLines w:val="0"/>
        <w:pageBreakBefore w:val="0"/>
        <w:widowControl w:val="0"/>
        <w:kinsoku/>
        <w:wordWrap/>
        <w:overflowPunct/>
        <w:topLinePunct w:val="0"/>
        <w:autoSpaceDE/>
        <w:autoSpaceDN/>
        <w:bidi w:val="0"/>
        <w:adjustRightInd/>
        <w:snapToGrid/>
        <w:spacing w:before="0" w:after="0" w:line="60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关于本报告</w:t>
      </w:r>
    </w:p>
    <w:p w14:paraId="41727D2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8"/>
          <w:szCs w:val="28"/>
          <w:lang w:val="en-US" w:eastAsia="zh-CN"/>
        </w:rPr>
      </w:pPr>
    </w:p>
    <w:p w14:paraId="75D4B961">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浙江易锻精密机械有限公司2024年度社会责任报告》总结和反映了2024年度浙江易锻精密机械有限公司（以下简称“公司”）在生产经营的同时，促进经济可持续发展、社会可持续发展以及环境和生态可持续发展方面所履行社会责任的实践情况。</w:t>
      </w:r>
    </w:p>
    <w:p w14:paraId="447724C1">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3FBC14D9">
      <w:pPr>
        <w:pStyle w:val="15"/>
        <w:keepNext w:val="0"/>
        <w:keepLines w:val="0"/>
        <w:pageBreakBefore w:val="0"/>
        <w:widowControl w:val="0"/>
        <w:kinsoku/>
        <w:wordWrap/>
        <w:overflowPunct/>
        <w:topLinePunct w:val="0"/>
        <w:autoSpaceDE/>
        <w:autoSpaceDN/>
        <w:bidi w:val="0"/>
        <w:adjustRightInd/>
        <w:snapToGrid/>
        <w:spacing w:before="0" w:after="0"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报告时间：</w:t>
      </w:r>
    </w:p>
    <w:p w14:paraId="561D8C0A">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本报告的报告时间为2024年1月1日-2024年12月31日。</w:t>
      </w:r>
    </w:p>
    <w:p w14:paraId="59D4A5DB">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编制依据：</w:t>
      </w:r>
    </w:p>
    <w:p w14:paraId="5762711F">
      <w:pPr>
        <w:pStyle w:val="2"/>
        <w:keepNext w:val="0"/>
        <w:keepLines w:val="0"/>
        <w:pageBreakBefore w:val="0"/>
        <w:widowControl w:val="0"/>
        <w:kinsoku/>
        <w:wordWrap/>
        <w:overflowPunct/>
        <w:topLinePunct w:val="0"/>
        <w:autoSpaceDE/>
        <w:autoSpaceDN/>
        <w:bidi w:val="0"/>
        <w:adjustRightInd/>
        <w:snapToGrid/>
        <w:spacing w:after="0"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《中国企业社会责任报告编写指南（CASS-CSR1.0）》。</w:t>
      </w:r>
    </w:p>
    <w:p w14:paraId="4DA0227C">
      <w:pPr>
        <w:pStyle w:val="15"/>
        <w:keepNext w:val="0"/>
        <w:keepLines w:val="0"/>
        <w:pageBreakBefore w:val="0"/>
        <w:widowControl w:val="0"/>
        <w:kinsoku/>
        <w:wordWrap/>
        <w:overflowPunct/>
        <w:topLinePunct w:val="0"/>
        <w:autoSpaceDE/>
        <w:autoSpaceDN/>
        <w:bidi w:val="0"/>
        <w:adjustRightInd/>
        <w:snapToGrid/>
        <w:spacing w:before="0" w:after="0"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报告范围：</w:t>
      </w:r>
    </w:p>
    <w:p w14:paraId="7DB73041">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本报告组织范围为浙江易锻精密机械有限公司。</w:t>
      </w:r>
    </w:p>
    <w:p w14:paraId="180BEE1B">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发布形式：</w:t>
      </w:r>
    </w:p>
    <w:p w14:paraId="708FBA4A">
      <w:pPr>
        <w:pStyle w:val="2"/>
        <w:keepNext w:val="0"/>
        <w:keepLines w:val="0"/>
        <w:pageBreakBefore w:val="0"/>
        <w:kinsoku/>
        <w:overflowPunct/>
        <w:topLinePunct w:val="0"/>
        <w:bidi w:val="0"/>
        <w:spacing w:line="360" w:lineRule="auto"/>
        <w:ind w:left="0" w:leftChars="0" w:right="0" w:rightChars="0"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本报告通过公司网站</w:t>
      </w:r>
      <w:r>
        <w:rPr>
          <w:rFonts w:hint="eastAsia" w:asciiTheme="majorEastAsia" w:hAnsiTheme="majorEastAsia" w:eastAsiaTheme="majorEastAsia" w:cstheme="majorEastAsia"/>
          <w:b w:val="0"/>
          <w:bCs w:val="0"/>
          <w:color w:val="000000" w:themeColor="text1"/>
          <w:w w:val="95"/>
          <w:sz w:val="28"/>
          <w:szCs w:val="28"/>
          <w:u w:val="single" w:color="auto"/>
          <w:lang w:eastAsia="zh-CN"/>
          <w14:textFill>
            <w14:solidFill>
              <w14:schemeClr w14:val="tx1"/>
            </w14:solidFill>
          </w14:textFill>
        </w:rPr>
        <w:t>http://www.</w:t>
      </w:r>
      <w:r>
        <w:rPr>
          <w:rFonts w:hint="eastAsia" w:asciiTheme="majorEastAsia" w:hAnsiTheme="majorEastAsia" w:eastAsiaTheme="majorEastAsia" w:cstheme="majorEastAsia"/>
          <w:b w:val="0"/>
          <w:bCs w:val="0"/>
          <w:color w:val="000000" w:themeColor="text1"/>
          <w:w w:val="95"/>
          <w:sz w:val="28"/>
          <w:szCs w:val="28"/>
          <w:u w:val="single" w:color="auto"/>
          <w:lang w:val="en-US" w:eastAsia="zh-CN"/>
          <w14:textFill>
            <w14:solidFill>
              <w14:schemeClr w14:val="tx1"/>
            </w14:solidFill>
          </w14:textFill>
        </w:rPr>
        <w:t>zjedps</w:t>
      </w:r>
      <w:r>
        <w:rPr>
          <w:rFonts w:hint="eastAsia" w:asciiTheme="majorEastAsia" w:hAnsiTheme="majorEastAsia" w:eastAsiaTheme="majorEastAsia" w:cstheme="majorEastAsia"/>
          <w:b w:val="0"/>
          <w:bCs w:val="0"/>
          <w:color w:val="000000" w:themeColor="text1"/>
          <w:w w:val="95"/>
          <w:sz w:val="28"/>
          <w:szCs w:val="28"/>
          <w:u w:val="single" w:color="auto"/>
          <w:lang w:eastAsia="zh-CN"/>
          <w14:textFill>
            <w14:solidFill>
              <w14:schemeClr w14:val="tx1"/>
            </w14:solidFill>
          </w14:textFill>
        </w:rPr>
        <w:t>.com/</w:t>
      </w:r>
      <w:r>
        <w:rPr>
          <w:rFonts w:hint="eastAsia" w:ascii="仿宋" w:hAnsi="仿宋" w:eastAsia="仿宋" w:cs="仿宋"/>
          <w:b w:val="0"/>
          <w:bCs w:val="0"/>
          <w:sz w:val="28"/>
          <w:szCs w:val="28"/>
          <w:lang w:val="en-US" w:eastAsia="zh-CN"/>
        </w:rPr>
        <w:t>向社会发布，欢迎</w:t>
      </w:r>
      <w:r>
        <w:rPr>
          <w:rFonts w:hint="eastAsia" w:asciiTheme="majorEastAsia" w:hAnsiTheme="majorEastAsia" w:eastAsiaTheme="majorEastAsia" w:cstheme="majorEastAsia"/>
          <w:b w:val="0"/>
          <w:bCs w:val="0"/>
          <w:color w:val="000000" w:themeColor="text1"/>
          <w:w w:val="95"/>
          <w:sz w:val="28"/>
          <w:szCs w:val="28"/>
          <w:lang w:eastAsia="zh-CN"/>
          <w14:textFill>
            <w14:solidFill>
              <w14:schemeClr w14:val="tx1"/>
            </w14:solidFill>
          </w14:textFill>
        </w:rPr>
        <w:t>下载</w:t>
      </w:r>
      <w:r>
        <w:rPr>
          <w:rFonts w:hint="eastAsia" w:ascii="仿宋" w:hAnsi="仿宋" w:eastAsia="仿宋" w:cs="仿宋"/>
          <w:b w:val="0"/>
          <w:bCs w:val="0"/>
          <w:sz w:val="28"/>
          <w:szCs w:val="28"/>
          <w:lang w:val="en-US" w:eastAsia="zh-CN"/>
        </w:rPr>
        <w:t>阅读并提出宝贵意见。</w:t>
      </w:r>
    </w:p>
    <w:p w14:paraId="7C2DD6FD">
      <w:pPr>
        <w:pStyle w:val="2"/>
        <w:keepNext w:val="0"/>
        <w:keepLines w:val="0"/>
        <w:pageBreakBefore w:val="0"/>
        <w:kinsoku/>
        <w:overflowPunct/>
        <w:topLinePunct w:val="0"/>
        <w:bidi w:val="0"/>
        <w:spacing w:line="360" w:lineRule="auto"/>
        <w:ind w:left="0" w:leftChars="0" w:right="0" w:rightChars="0" w:firstLine="560" w:firstLineChars="200"/>
        <w:textAlignment w:val="auto"/>
        <w:rPr>
          <w:rFonts w:hint="eastAsia" w:asciiTheme="majorEastAsia" w:hAnsiTheme="majorEastAsia" w:eastAsiaTheme="majorEastAsia" w:cstheme="majorEastAsia"/>
          <w:color w:val="000000" w:themeColor="text1"/>
          <w:sz w:val="28"/>
          <w:szCs w:val="28"/>
          <w:lang w:eastAsia="zh-CN"/>
          <w14:textFill>
            <w14:solidFill>
              <w14:schemeClr w14:val="tx1"/>
            </w14:solidFill>
          </w14:textFill>
        </w:rPr>
      </w:pPr>
    </w:p>
    <w:p w14:paraId="5FADA631">
      <w:pPr>
        <w:pStyle w:val="15"/>
        <w:keepNext w:val="0"/>
        <w:keepLines w:val="0"/>
        <w:pageBreakBefore w:val="0"/>
        <w:widowControl w:val="0"/>
        <w:kinsoku/>
        <w:wordWrap/>
        <w:overflowPunct/>
        <w:topLinePunct w:val="0"/>
        <w:autoSpaceDE/>
        <w:autoSpaceDN/>
        <w:bidi w:val="0"/>
        <w:adjustRightInd/>
        <w:snapToGrid/>
        <w:spacing w:before="0" w:after="0" w:line="600" w:lineRule="exact"/>
        <w:textAlignment w:val="auto"/>
        <w:rPr>
          <w:rFonts w:hint="eastAsia" w:ascii="仿宋" w:hAnsi="仿宋" w:eastAsia="仿宋" w:cs="仿宋"/>
          <w:sz w:val="28"/>
          <w:szCs w:val="28"/>
          <w:lang w:val="en-US" w:eastAsia="zh-CN"/>
        </w:rPr>
      </w:pPr>
    </w:p>
    <w:p w14:paraId="14C0E5A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8"/>
          <w:szCs w:val="28"/>
          <w:lang w:val="en-US" w:eastAsia="zh-CN"/>
        </w:rPr>
      </w:pPr>
    </w:p>
    <w:p w14:paraId="3FF9AD5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p>
    <w:p w14:paraId="3DF5146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lang w:val="en-US" w:eastAsia="zh-CN"/>
        </w:rPr>
      </w:pPr>
      <w:bookmarkStart w:id="6" w:name="_GoBack"/>
      <w:bookmarkEnd w:id="6"/>
    </w:p>
    <w:sdt>
      <w:sdtPr>
        <w:rPr>
          <w:rFonts w:hint="eastAsia" w:ascii="仿宋" w:hAnsi="仿宋" w:eastAsia="仿宋" w:cs="仿宋"/>
          <w:sz w:val="28"/>
          <w:szCs w:val="28"/>
          <w:lang w:val="zh-CN"/>
        </w:rPr>
        <w:id w:val="15567683"/>
        <w:docPartObj>
          <w:docPartGallery w:val="Table of Contents"/>
          <w:docPartUnique/>
        </w:docPartObj>
      </w:sdtPr>
      <w:sdtEndPr>
        <w:rPr>
          <w:rFonts w:hint="eastAsia" w:ascii="仿宋" w:hAnsi="仿宋" w:eastAsia="仿宋" w:cs="仿宋"/>
          <w:b w:val="0"/>
          <w:bCs w:val="0"/>
          <w:sz w:val="28"/>
          <w:szCs w:val="28"/>
          <w:lang w:val="zh-CN" w:eastAsia="zh-CN"/>
        </w:rPr>
      </w:sdtEndPr>
      <w:sdtContent>
        <w:p w14:paraId="2095523D">
          <w:pPr>
            <w:pStyle w:val="30"/>
            <w:pageBreakBefore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sz w:val="28"/>
              <w:szCs w:val="28"/>
              <w:lang w:val="zh-CN"/>
            </w:rPr>
          </w:pPr>
        </w:p>
        <w:p w14:paraId="6C2CD090">
          <w:pPr>
            <w:pStyle w:val="30"/>
            <w:pageBreakBefore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bCs/>
              <w:color w:val="000000" w:themeColor="text1"/>
              <w:sz w:val="44"/>
              <w:szCs w:val="44"/>
              <w:lang w:val="zh-CN"/>
              <w14:textFill>
                <w14:solidFill>
                  <w14:schemeClr w14:val="tx1"/>
                </w14:solidFill>
              </w14:textFill>
            </w:rPr>
          </w:pPr>
          <w:r>
            <w:rPr>
              <w:rFonts w:hint="eastAsia" w:ascii="仿宋" w:hAnsi="仿宋" w:eastAsia="仿宋" w:cs="仿宋"/>
              <w:b/>
              <w:bCs/>
              <w:color w:val="000000" w:themeColor="text1"/>
              <w:sz w:val="44"/>
              <w:szCs w:val="44"/>
              <w:lang w:val="zh-CN"/>
              <w14:textFill>
                <w14:solidFill>
                  <w14:schemeClr w14:val="tx1"/>
                </w14:solidFill>
              </w14:textFill>
            </w:rPr>
            <w:t>目</w:t>
          </w:r>
          <w:r>
            <w:rPr>
              <w:rFonts w:hint="eastAsia" w:ascii="仿宋" w:hAnsi="仿宋" w:eastAsia="仿宋" w:cs="仿宋"/>
              <w:b/>
              <w:bCs/>
              <w:color w:val="000000" w:themeColor="text1"/>
              <w:sz w:val="44"/>
              <w:szCs w:val="44"/>
              <w:lang w:val="en-US" w:eastAsia="zh-CN"/>
              <w14:textFill>
                <w14:solidFill>
                  <w14:schemeClr w14:val="tx1"/>
                </w14:solidFill>
              </w14:textFill>
            </w:rPr>
            <w:t xml:space="preserve">  </w:t>
          </w:r>
          <w:r>
            <w:rPr>
              <w:rFonts w:hint="eastAsia" w:ascii="仿宋" w:hAnsi="仿宋" w:eastAsia="仿宋" w:cs="仿宋"/>
              <w:b/>
              <w:bCs/>
              <w:color w:val="000000" w:themeColor="text1"/>
              <w:sz w:val="44"/>
              <w:szCs w:val="44"/>
              <w:lang w:val="zh-CN"/>
              <w14:textFill>
                <w14:solidFill>
                  <w14:schemeClr w14:val="tx1"/>
                </w14:solidFill>
              </w14:textFill>
            </w:rPr>
            <w:t>录</w:t>
          </w:r>
        </w:p>
        <w:p w14:paraId="5024B7CB">
          <w:pPr>
            <w:keepNext w:val="0"/>
            <w:keepLines w:val="0"/>
            <w:pageBreakBefore w:val="0"/>
            <w:widowControl w:val="0"/>
            <w:numPr>
              <w:ilvl w:val="0"/>
              <w:numId w:val="0"/>
            </w:numPr>
            <w:kinsoku/>
            <w:wordWrap/>
            <w:overflowPunct/>
            <w:topLinePunct w:val="0"/>
            <w:autoSpaceDE/>
            <w:autoSpaceDN/>
            <w:bidi w:val="0"/>
            <w:adjustRightInd/>
            <w:snapToGrid/>
            <w:spacing w:line="580" w:lineRule="exac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一、</w:t>
          </w:r>
          <w:r>
            <w:rPr>
              <w:rFonts w:hint="eastAsia" w:ascii="仿宋" w:hAnsi="仿宋" w:eastAsia="仿宋" w:cs="仿宋"/>
              <w:b/>
              <w:bCs/>
              <w:sz w:val="28"/>
              <w:szCs w:val="28"/>
              <w:lang w:val="en-US" w:eastAsia="zh-CN"/>
            </w:rPr>
            <w:t>公司概况</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w:t>
          </w:r>
        </w:p>
        <w:p w14:paraId="01BB68FB">
          <w:pPr>
            <w:keepNext w:val="0"/>
            <w:keepLines w:val="0"/>
            <w:pageBreakBefore w:val="0"/>
            <w:widowControl w:val="0"/>
            <w:numPr>
              <w:ilvl w:val="0"/>
              <w:numId w:val="0"/>
            </w:numPr>
            <w:kinsoku/>
            <w:wordWrap/>
            <w:overflowPunct/>
            <w:topLinePunct w:val="0"/>
            <w:autoSpaceDE/>
            <w:autoSpaceDN/>
            <w:bidi w:val="0"/>
            <w:adjustRightInd/>
            <w:snapToGrid/>
            <w:spacing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（一）公司基本情况</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w:t>
          </w:r>
        </w:p>
        <w:p w14:paraId="08B9A566">
          <w:pPr>
            <w:pStyle w:val="2"/>
            <w:keepNext w:val="0"/>
            <w:keepLines w:val="0"/>
            <w:pageBreakBefore w:val="0"/>
            <w:widowControl w:val="0"/>
            <w:kinsoku/>
            <w:wordWrap/>
            <w:overflowPunct/>
            <w:topLinePunct w:val="0"/>
            <w:autoSpaceDE/>
            <w:autoSpaceDN/>
            <w:bidi w:val="0"/>
            <w:adjustRightInd/>
            <w:snapToGrid/>
            <w:spacing w:after="0" w:line="580" w:lineRule="exac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（二）公司治理结构</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2</w:t>
          </w:r>
        </w:p>
        <w:p w14:paraId="4DAF9711">
          <w:pPr>
            <w:pStyle w:val="15"/>
            <w:keepNext w:val="0"/>
            <w:keepLines w:val="0"/>
            <w:pageBreakBefore w:val="0"/>
            <w:widowControl w:val="0"/>
            <w:kinsoku/>
            <w:wordWrap/>
            <w:overflowPunct/>
            <w:topLinePunct w:val="0"/>
            <w:autoSpaceDE/>
            <w:autoSpaceDN/>
            <w:bidi w:val="0"/>
            <w:adjustRightInd/>
            <w:snapToGrid/>
            <w:spacing w:before="0" w:after="0" w:line="580" w:lineRule="exact"/>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（三）2024年经营概况</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3</w:t>
          </w:r>
        </w:p>
        <w:p w14:paraId="4B3FC95F">
          <w:pPr>
            <w:pStyle w:val="15"/>
            <w:keepNext w:val="0"/>
            <w:keepLines w:val="0"/>
            <w:pageBreakBefore w:val="0"/>
            <w:widowControl w:val="0"/>
            <w:numPr>
              <w:ilvl w:val="0"/>
              <w:numId w:val="1"/>
            </w:numPr>
            <w:kinsoku/>
            <w:wordWrap/>
            <w:overflowPunct/>
            <w:topLinePunct w:val="0"/>
            <w:autoSpaceDE/>
            <w:autoSpaceDN/>
            <w:bidi w:val="0"/>
            <w:adjustRightInd/>
            <w:snapToGrid/>
            <w:spacing w:before="0" w:after="0" w:line="580" w:lineRule="exact"/>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公司对社会责任的认识</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3</w:t>
          </w:r>
        </w:p>
        <w:p w14:paraId="3EA3B759">
          <w:pPr>
            <w:keepNext w:val="0"/>
            <w:keepLines w:val="0"/>
            <w:pageBreakBefore w:val="0"/>
            <w:widowControl w:val="0"/>
            <w:numPr>
              <w:ilvl w:val="0"/>
              <w:numId w:val="1"/>
            </w:numPr>
            <w:kinsoku/>
            <w:wordWrap/>
            <w:overflowPunct/>
            <w:topLinePunct w:val="0"/>
            <w:autoSpaceDE/>
            <w:autoSpaceDN/>
            <w:bidi w:val="0"/>
            <w:adjustRightInd/>
            <w:snapToGrid/>
            <w:spacing w:line="580" w:lineRule="exact"/>
            <w:textAlignment w:val="auto"/>
            <w:rPr>
              <w:rFonts w:hint="eastAsia"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在促进经济可持续发展方面履行的社会责任</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4</w:t>
          </w:r>
        </w:p>
        <w:p w14:paraId="32552FD5">
          <w:pPr>
            <w:keepNext w:val="0"/>
            <w:keepLines w:val="0"/>
            <w:pageBreakBefore w:val="0"/>
            <w:widowControl w:val="0"/>
            <w:numPr>
              <w:ilvl w:val="0"/>
              <w:numId w:val="2"/>
            </w:numPr>
            <w:kinsoku/>
            <w:wordWrap/>
            <w:overflowPunct/>
            <w:topLinePunct w:val="0"/>
            <w:autoSpaceDE/>
            <w:autoSpaceDN/>
            <w:bidi w:val="0"/>
            <w:adjustRightInd/>
            <w:snapToGrid/>
            <w:spacing w:line="580" w:lineRule="exac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完善公司治理，合法合规经营</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4</w:t>
          </w:r>
        </w:p>
        <w:p w14:paraId="020B344A">
          <w:pPr>
            <w:pStyle w:val="15"/>
            <w:keepNext w:val="0"/>
            <w:keepLines w:val="0"/>
            <w:pageBreakBefore w:val="0"/>
            <w:widowControl w:val="0"/>
            <w:numPr>
              <w:ilvl w:val="0"/>
              <w:numId w:val="2"/>
            </w:numPr>
            <w:kinsoku/>
            <w:wordWrap/>
            <w:overflowPunct/>
            <w:topLinePunct w:val="0"/>
            <w:autoSpaceDE/>
            <w:autoSpaceDN/>
            <w:bidi w:val="0"/>
            <w:adjustRightInd/>
            <w:snapToGrid/>
            <w:spacing w:before="0" w:after="0" w:line="580" w:lineRule="exact"/>
            <w:ind w:left="0" w:leftChars="0" w:firstLine="0" w:firstLineChars="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构建和谐的投资者关系</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6</w:t>
          </w:r>
        </w:p>
        <w:p w14:paraId="3F99E393">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left="0" w:leftChars="0" w:firstLine="0" w:firstLineChars="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为客户提供高质量的产品和服务</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6</w:t>
          </w:r>
        </w:p>
        <w:p w14:paraId="7B2CF9DF">
          <w:pPr>
            <w:pStyle w:val="15"/>
            <w:keepNext w:val="0"/>
            <w:keepLines w:val="0"/>
            <w:pageBreakBefore w:val="0"/>
            <w:widowControl w:val="0"/>
            <w:kinsoku/>
            <w:wordWrap/>
            <w:overflowPunct/>
            <w:topLinePunct w:val="0"/>
            <w:autoSpaceDE/>
            <w:autoSpaceDN/>
            <w:bidi w:val="0"/>
            <w:adjustRightInd/>
            <w:snapToGrid/>
            <w:spacing w:before="0" w:after="0" w:line="580" w:lineRule="exact"/>
            <w:jc w:val="lef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四、</w:t>
          </w:r>
          <w:r>
            <w:rPr>
              <w:rFonts w:hint="eastAsia" w:ascii="仿宋" w:hAnsi="仿宋" w:eastAsia="仿宋" w:cs="仿宋"/>
              <w:b/>
              <w:bCs/>
              <w:sz w:val="28"/>
              <w:szCs w:val="28"/>
              <w:lang w:val="en-US" w:eastAsia="zh-CN"/>
            </w:rPr>
            <w:t>在促进环境及生态可持续发展方面履行的社会责任</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11</w:t>
          </w:r>
        </w:p>
        <w:p w14:paraId="7DE3B0D6">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Chars="0"/>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（一）注重能源节约</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12</w:t>
          </w:r>
        </w:p>
        <w:p w14:paraId="5D6059EE">
          <w:pPr>
            <w:pStyle w:val="2"/>
            <w:keepNext w:val="0"/>
            <w:keepLines w:val="0"/>
            <w:pageBreakBefore w:val="0"/>
            <w:widowControl w:val="0"/>
            <w:kinsoku/>
            <w:wordWrap/>
            <w:overflowPunct/>
            <w:topLinePunct w:val="0"/>
            <w:autoSpaceDE/>
            <w:autoSpaceDN/>
            <w:bidi w:val="0"/>
            <w:adjustRightInd/>
            <w:snapToGrid/>
            <w:spacing w:after="0"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（二）注重清洁生产过程</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14</w:t>
          </w:r>
        </w:p>
        <w:p w14:paraId="68717219">
          <w:pPr>
            <w:keepNext w:val="0"/>
            <w:keepLines w:val="0"/>
            <w:pageBreakBefore w:val="0"/>
            <w:widowControl w:val="0"/>
            <w:kinsoku/>
            <w:wordWrap/>
            <w:overflowPunct/>
            <w:topLinePunct w:val="0"/>
            <w:autoSpaceDE/>
            <w:autoSpaceDN/>
            <w:bidi w:val="0"/>
            <w:adjustRightInd/>
            <w:snapToGrid w:val="0"/>
            <w:spacing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（三）公司</w:t>
          </w:r>
          <w:r>
            <w:rPr>
              <w:rFonts w:hint="eastAsia" w:ascii="仿宋" w:hAnsi="仿宋" w:eastAsia="仿宋" w:cs="仿宋"/>
              <w:b w:val="0"/>
              <w:bCs w:val="0"/>
              <w:sz w:val="28"/>
              <w:szCs w:val="28"/>
            </w:rPr>
            <w:t>对公众的隐忧保持敏感、积极采取应对措施</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15</w:t>
          </w:r>
        </w:p>
        <w:p w14:paraId="693E2232">
          <w:pPr>
            <w:keepNext w:val="0"/>
            <w:keepLines w:val="0"/>
            <w:pageBreakBefore w:val="0"/>
            <w:widowControl w:val="0"/>
            <w:kinsoku/>
            <w:wordWrap/>
            <w:overflowPunct/>
            <w:topLinePunct w:val="0"/>
            <w:autoSpaceDE/>
            <w:autoSpaceDN/>
            <w:bidi w:val="0"/>
            <w:adjustRightInd/>
            <w:snapToGrid w:val="0"/>
            <w:spacing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（四）环境</w:t>
          </w:r>
          <w:r>
            <w:rPr>
              <w:rFonts w:hint="eastAsia" w:ascii="仿宋" w:hAnsi="仿宋" w:eastAsia="仿宋" w:cs="仿宋"/>
              <w:b w:val="0"/>
              <w:bCs w:val="0"/>
              <w:sz w:val="28"/>
              <w:szCs w:val="28"/>
            </w:rPr>
            <w:t>相关风险方面的关键过程及绩效指标</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16</w:t>
          </w:r>
        </w:p>
        <w:p w14:paraId="37F155D9">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五、</w:t>
          </w:r>
          <w:r>
            <w:rPr>
              <w:rFonts w:hint="eastAsia" w:ascii="仿宋" w:hAnsi="仿宋" w:eastAsia="仿宋" w:cs="仿宋"/>
              <w:b/>
              <w:bCs/>
              <w:sz w:val="28"/>
              <w:szCs w:val="28"/>
              <w:lang w:val="en-US" w:eastAsia="zh-CN"/>
            </w:rPr>
            <w:t>在促进社会可持续发展方面履行的社会责任</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17</w:t>
          </w:r>
        </w:p>
        <w:p w14:paraId="1317EC74">
          <w:pPr>
            <w:pStyle w:val="2"/>
            <w:keepNext w:val="0"/>
            <w:keepLines w:val="0"/>
            <w:pageBreakBefore w:val="0"/>
            <w:widowControl w:val="0"/>
            <w:kinsoku/>
            <w:wordWrap/>
            <w:overflowPunct/>
            <w:topLinePunct w:val="0"/>
            <w:autoSpaceDE/>
            <w:autoSpaceDN/>
            <w:bidi w:val="0"/>
            <w:adjustRightInd/>
            <w:snapToGrid/>
            <w:spacing w:after="0"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（一）保障股东权益</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17</w:t>
          </w:r>
        </w:p>
        <w:p w14:paraId="399F7458">
          <w:pPr>
            <w:pStyle w:val="15"/>
            <w:keepNext w:val="0"/>
            <w:keepLines w:val="0"/>
            <w:pageBreakBefore w:val="0"/>
            <w:widowControl w:val="0"/>
            <w:kinsoku/>
            <w:wordWrap/>
            <w:overflowPunct/>
            <w:topLinePunct w:val="0"/>
            <w:autoSpaceDE/>
            <w:autoSpaceDN/>
            <w:bidi w:val="0"/>
            <w:adjustRightInd/>
            <w:snapToGrid/>
            <w:spacing w:before="0" w:after="0" w:line="580" w:lineRule="exact"/>
            <w:jc w:val="lef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（二）强化员工培训</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18</w:t>
          </w:r>
        </w:p>
        <w:p w14:paraId="450C3724">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（三）深入了解员工需求，提供员工满意度</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20</w:t>
          </w:r>
        </w:p>
        <w:p w14:paraId="3E1B9E9A">
          <w:pPr>
            <w:pStyle w:val="2"/>
            <w:keepNext w:val="0"/>
            <w:keepLines w:val="0"/>
            <w:pageBreakBefore w:val="0"/>
            <w:widowControl w:val="0"/>
            <w:kinsoku/>
            <w:wordWrap/>
            <w:overflowPunct/>
            <w:topLinePunct w:val="0"/>
            <w:autoSpaceDE/>
            <w:autoSpaceDN/>
            <w:bidi w:val="0"/>
            <w:adjustRightInd/>
            <w:snapToGrid/>
            <w:spacing w:after="0"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（四）加强安全生产</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25</w:t>
          </w:r>
        </w:p>
        <w:p w14:paraId="18F57AF4">
          <w:pPr>
            <w:pStyle w:val="15"/>
            <w:keepNext w:val="0"/>
            <w:keepLines w:val="0"/>
            <w:pageBreakBefore w:val="0"/>
            <w:widowControl w:val="0"/>
            <w:kinsoku/>
            <w:wordWrap/>
            <w:overflowPunct/>
            <w:topLinePunct w:val="0"/>
            <w:autoSpaceDE/>
            <w:autoSpaceDN/>
            <w:bidi w:val="0"/>
            <w:adjustRightInd/>
            <w:snapToGrid/>
            <w:spacing w:before="0" w:after="0" w:line="580" w:lineRule="exact"/>
            <w:jc w:val="left"/>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（五）积极投身公益</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26</w:t>
          </w:r>
        </w:p>
        <w:p w14:paraId="4B06C794">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六、公司荣誉、知识产权</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26</w:t>
          </w:r>
        </w:p>
        <w:p w14:paraId="1EA1DB94">
          <w:pPr>
            <w:pStyle w:val="2"/>
            <w:keepNext w:val="0"/>
            <w:keepLines w:val="0"/>
            <w:pageBreakBefore w:val="0"/>
            <w:widowControl w:val="0"/>
            <w:kinsoku/>
            <w:wordWrap/>
            <w:overflowPunct/>
            <w:topLinePunct w:val="0"/>
            <w:autoSpaceDE/>
            <w:autoSpaceDN/>
            <w:bidi w:val="0"/>
            <w:adjustRightInd/>
            <w:snapToGrid/>
            <w:spacing w:after="0" w:line="580" w:lineRule="exact"/>
            <w:textAlignment w:val="auto"/>
            <w:rPr>
              <w:rFonts w:hint="default"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七、结  语</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30</w:t>
          </w:r>
        </w:p>
        <w:p w14:paraId="5E22340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b w:val="0"/>
              <w:bCs w:val="0"/>
              <w:sz w:val="28"/>
              <w:szCs w:val="28"/>
            </w:rPr>
          </w:pPr>
          <w:bookmarkStart w:id="2" w:name="_Toc28555"/>
        </w:p>
      </w:sdtContent>
    </w:sdt>
    <w:p w14:paraId="7367B1A9">
      <w:pPr>
        <w:keepNext w:val="0"/>
        <w:keepLines w:val="0"/>
        <w:pageBreakBefore w:val="0"/>
        <w:widowControl w:val="0"/>
        <w:numPr>
          <w:ilvl w:val="0"/>
          <w:numId w:val="3"/>
        </w:numPr>
        <w:kinsoku/>
        <w:wordWrap/>
        <w:overflowPunct/>
        <w:topLinePunct w:val="0"/>
        <w:autoSpaceDE/>
        <w:autoSpaceDN/>
        <w:bidi w:val="0"/>
        <w:adjustRightInd/>
        <w:spacing w:line="600" w:lineRule="exact"/>
        <w:jc w:val="left"/>
        <w:textAlignment w:val="auto"/>
        <w:outlineLvl w:val="0"/>
        <w:rPr>
          <w:rFonts w:hint="eastAsia" w:ascii="仿宋" w:hAnsi="仿宋" w:eastAsia="仿宋" w:cs="仿宋"/>
          <w:b/>
          <w:bCs w:val="0"/>
          <w:w w:val="90"/>
          <w:sz w:val="28"/>
          <w:szCs w:val="28"/>
          <w:lang w:val="en-US" w:eastAsia="zh-CN"/>
        </w:rPr>
        <w:sectPr>
          <w:headerReference r:id="rId3" w:type="default"/>
          <w:pgSz w:w="11906" w:h="16838"/>
          <w:pgMar w:top="754" w:right="1474" w:bottom="1247" w:left="1474" w:header="425" w:footer="550" w:gutter="0"/>
          <w:pgNumType w:fmt="decimal" w:start="1"/>
          <w:cols w:space="720" w:num="1"/>
          <w:docGrid w:type="lines" w:linePitch="312" w:charSpace="0"/>
        </w:sectPr>
      </w:pPr>
    </w:p>
    <w:p w14:paraId="5DFD7540">
      <w:pPr>
        <w:keepNext w:val="0"/>
        <w:keepLines w:val="0"/>
        <w:pageBreakBefore w:val="0"/>
        <w:widowControl w:val="0"/>
        <w:numPr>
          <w:ilvl w:val="0"/>
          <w:numId w:val="3"/>
        </w:numPr>
        <w:kinsoku/>
        <w:wordWrap/>
        <w:overflowPunct/>
        <w:topLinePunct w:val="0"/>
        <w:autoSpaceDE/>
        <w:autoSpaceDN/>
        <w:bidi w:val="0"/>
        <w:adjustRightInd/>
        <w:spacing w:line="600" w:lineRule="exact"/>
        <w:jc w:val="left"/>
        <w:textAlignment w:val="auto"/>
        <w:outlineLvl w:val="0"/>
        <w:rPr>
          <w:rFonts w:hint="eastAsia" w:ascii="仿宋" w:hAnsi="仿宋" w:eastAsia="仿宋" w:cs="仿宋"/>
          <w:b/>
          <w:bCs w:val="0"/>
          <w:w w:val="90"/>
          <w:sz w:val="28"/>
          <w:szCs w:val="28"/>
          <w:lang w:val="en-US" w:eastAsia="zh-CN"/>
        </w:rPr>
      </w:pPr>
      <w:r>
        <w:rPr>
          <w:rFonts w:hint="eastAsia" w:ascii="仿宋" w:hAnsi="仿宋" w:eastAsia="仿宋" w:cs="仿宋"/>
          <w:b/>
          <w:bCs w:val="0"/>
          <w:w w:val="90"/>
          <w:sz w:val="28"/>
          <w:szCs w:val="28"/>
          <w:lang w:val="en-US" w:eastAsia="zh-CN"/>
        </w:rPr>
        <w:t>公司概况</w:t>
      </w:r>
    </w:p>
    <w:p w14:paraId="34D08C39">
      <w:pPr>
        <w:pStyle w:val="2"/>
        <w:keepNext w:val="0"/>
        <w:keepLines w:val="0"/>
        <w:pageBreakBefore w:val="0"/>
        <w:widowControl w:val="0"/>
        <w:numPr>
          <w:ilvl w:val="0"/>
          <w:numId w:val="4"/>
        </w:numPr>
        <w:kinsoku/>
        <w:wordWrap/>
        <w:overflowPunct/>
        <w:topLinePunct w:val="0"/>
        <w:autoSpaceDE/>
        <w:autoSpaceDN/>
        <w:bidi w:val="0"/>
        <w:adjustRightInd/>
        <w:spacing w:after="0" w:line="600" w:lineRule="exact"/>
        <w:textAlignment w:val="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公司基本情况</w:t>
      </w:r>
    </w:p>
    <w:p w14:paraId="039F9ED9">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b w:val="0"/>
          <w:bCs/>
          <w:sz w:val="28"/>
          <w:szCs w:val="28"/>
        </w:rPr>
      </w:pPr>
      <w:r>
        <w:rPr>
          <w:rFonts w:hint="eastAsia" w:ascii="仿宋" w:hAnsi="仿宋" w:eastAsia="仿宋" w:cs="仿宋"/>
          <w:b w:val="0"/>
          <w:bCs/>
          <w:sz w:val="28"/>
          <w:szCs w:val="28"/>
        </w:rPr>
        <w:t>浙江易锻精密机械有限公司是一家专业从事智能数控压力机制造的高新技术企业，为工业母机重点企业，产品广泛应用于汽车、家电、电机、电子、航空、医疗器械等行业。</w:t>
      </w:r>
      <w:r>
        <w:rPr>
          <w:rFonts w:hint="eastAsia" w:ascii="仿宋" w:hAnsi="仿宋" w:eastAsia="仿宋" w:cs="仿宋"/>
          <w:b w:val="0"/>
          <w:bCs/>
          <w:sz w:val="28"/>
          <w:szCs w:val="28"/>
          <w:lang w:val="en-US" w:eastAsia="zh-CN"/>
        </w:rPr>
        <w:t>公司注册资金1亿元人民币，总资产亿人民币，占地面积70亩，拥有现代化标准厂房、仓库、办公楼、职工宿舍等设施等房屋建筑面积49000m</w:t>
      </w:r>
      <w:r>
        <w:rPr>
          <w:rFonts w:hint="eastAsia" w:ascii="仿宋" w:hAnsi="仿宋" w:eastAsia="仿宋" w:cs="仿宋"/>
          <w:b w:val="0"/>
          <w:bCs/>
          <w:sz w:val="28"/>
          <w:szCs w:val="28"/>
          <w:vertAlign w:val="superscript"/>
          <w:lang w:val="en-US" w:eastAsia="zh-CN"/>
        </w:rPr>
        <w:t>2</w:t>
      </w:r>
      <w:r>
        <w:rPr>
          <w:rFonts w:hint="eastAsia" w:ascii="仿宋" w:hAnsi="仿宋" w:eastAsia="仿宋" w:cs="仿宋"/>
          <w:b w:val="0"/>
          <w:bCs/>
          <w:sz w:val="28"/>
          <w:szCs w:val="28"/>
          <w:vertAlign w:val="baseline"/>
          <w:lang w:val="en-US" w:eastAsia="zh-CN"/>
        </w:rPr>
        <w:t>，生产规模3000台套。</w:t>
      </w:r>
      <w:r>
        <w:rPr>
          <w:rFonts w:hint="eastAsia" w:ascii="仿宋" w:hAnsi="仿宋" w:eastAsia="仿宋" w:cs="仿宋"/>
          <w:b w:val="0"/>
          <w:bCs/>
          <w:sz w:val="28"/>
          <w:szCs w:val="28"/>
          <w:lang w:val="en-US" w:eastAsia="zh-CN"/>
        </w:rPr>
        <w:t>公司是象山县领军企业、纳税50强企业、亩均效益A档企业。</w:t>
      </w:r>
      <w:r>
        <w:rPr>
          <w:rFonts w:hint="eastAsia" w:ascii="仿宋" w:hAnsi="仿宋" w:eastAsia="仿宋" w:cs="仿宋"/>
          <w:b w:val="0"/>
          <w:bCs/>
          <w:sz w:val="28"/>
          <w:szCs w:val="28"/>
        </w:rPr>
        <w:t>公司主导产品智能数控高速精密压力机，弥补大型重载、超精密高速压力机技术等工业母机短板，填补国内新能源领域智能冲压设备空白，荣获国内首台（套）装备、省级装备制造业重点领域首台套产品，可完全替代进口，国内市场占有率已达到22.3%以上，位列全国第一，全球第二。</w:t>
      </w:r>
    </w:p>
    <w:p w14:paraId="6A37E616">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b w:val="0"/>
          <w:bCs/>
          <w:sz w:val="28"/>
          <w:szCs w:val="28"/>
        </w:rPr>
      </w:pPr>
      <w:r>
        <w:rPr>
          <w:rFonts w:hint="eastAsia" w:ascii="仿宋" w:hAnsi="仿宋" w:eastAsia="仿宋" w:cs="仿宋"/>
          <w:b w:val="0"/>
          <w:bCs/>
          <w:sz w:val="28"/>
          <w:szCs w:val="28"/>
        </w:rPr>
        <w:t>公司多年来稳健发展，荣获制造业单项冠军、国家专精特新小巨人企业、国家重点小巨人企业、驰名商标、国家知识产权优势企业、国家锻压装备远程运维服务智能制造标准应用试点企业、浙江省科技小巨人企业、浙江省科学技术进步奖三等奖、浙江制造精品、浙江省服务型制造示范企业、省级产业数字化服务商、省级绿色工厂、</w:t>
      </w:r>
      <w:r>
        <w:rPr>
          <w:rFonts w:hint="eastAsia" w:ascii="仿宋" w:hAnsi="仿宋" w:eastAsia="仿宋" w:cs="仿宋"/>
          <w:b w:val="0"/>
          <w:bCs/>
          <w:sz w:val="28"/>
          <w:szCs w:val="28"/>
          <w:lang w:val="en-US" w:eastAsia="zh-CN"/>
        </w:rPr>
        <w:t>宁波市质量创新奖、</w:t>
      </w:r>
      <w:r>
        <w:rPr>
          <w:rFonts w:hint="eastAsia" w:ascii="仿宋" w:hAnsi="仿宋" w:eastAsia="仿宋" w:cs="仿宋"/>
          <w:b w:val="0"/>
          <w:bCs/>
          <w:sz w:val="28"/>
          <w:szCs w:val="28"/>
        </w:rPr>
        <w:t>宁波市智能装备重点优势企业、宁波市科学技术进步奖三等奖等众多荣誉。</w:t>
      </w:r>
    </w:p>
    <w:p w14:paraId="4716C12F">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b w:val="0"/>
          <w:bCs/>
          <w:sz w:val="28"/>
          <w:szCs w:val="28"/>
        </w:rPr>
      </w:pPr>
      <w:r>
        <w:rPr>
          <w:rFonts w:hint="eastAsia" w:ascii="仿宋" w:hAnsi="仿宋" w:eastAsia="仿宋" w:cs="仿宋"/>
          <w:b w:val="0"/>
          <w:bCs/>
          <w:sz w:val="28"/>
          <w:szCs w:val="28"/>
        </w:rPr>
        <w:t>公司建有国家博士后科研工作站、省级企业技术中心、省级高新技术企业研究开发中心、院士工作站等众多研发创新平台，主持或参与制订6项国家标准、7项行业标准、9项浙江制造团体标准，拥有有效专利84项，其中发明专利34项，并建立了智能精密塑性成形产业链上下游企业共同体，与机械科学研究总院、北京机电研究所、西北工业大学、浙江大学、宁波大学等高校院所开展深度合作，现已联合承担国家智能制造标准应用试点项目1项、浙江省重点技术创新项目1项、宁波市重大科技专项3项、在研合作课题10多项、联合研发平台12个。</w:t>
      </w:r>
    </w:p>
    <w:p w14:paraId="70E7128D">
      <w:pPr>
        <w:pStyle w:val="31"/>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b w:val="0"/>
          <w:bCs/>
          <w:sz w:val="28"/>
          <w:szCs w:val="28"/>
        </w:rPr>
      </w:pPr>
      <w:r>
        <w:rPr>
          <w:rFonts w:hint="eastAsia" w:ascii="仿宋" w:hAnsi="仿宋" w:eastAsia="仿宋" w:cs="仿宋"/>
          <w:b w:val="0"/>
          <w:bCs/>
          <w:color w:val="000000"/>
          <w:sz w:val="28"/>
          <w:szCs w:val="28"/>
        </w:rPr>
        <w:t>公司注册商标</w:t>
      </w:r>
      <w:r>
        <w:rPr>
          <w:rFonts w:hint="eastAsia" w:ascii="仿宋" w:hAnsi="仿宋" w:eastAsia="仿宋" w:cs="仿宋"/>
          <w:b w:val="0"/>
          <w:bCs/>
          <w:color w:val="000000"/>
          <w:sz w:val="28"/>
          <w:szCs w:val="28"/>
        </w:rPr>
        <w:drawing>
          <wp:inline distT="0" distB="0" distL="0" distR="0">
            <wp:extent cx="495300" cy="175260"/>
            <wp:effectExtent l="0" t="0" r="0" b="15240"/>
            <wp:docPr id="2" name="图片 2" descr="EDP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DPS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5300" cy="175260"/>
                    </a:xfrm>
                    <a:prstGeom prst="rect">
                      <a:avLst/>
                    </a:prstGeom>
                    <a:noFill/>
                    <a:ln>
                      <a:noFill/>
                    </a:ln>
                  </pic:spPr>
                </pic:pic>
              </a:graphicData>
            </a:graphic>
          </wp:inline>
        </w:drawing>
      </w:r>
      <w:r>
        <w:rPr>
          <w:rFonts w:hint="eastAsia" w:ascii="仿宋" w:hAnsi="仿宋" w:eastAsia="仿宋" w:cs="仿宋"/>
          <w:b w:val="0"/>
          <w:bCs/>
          <w:color w:val="000000"/>
          <w:sz w:val="28"/>
          <w:szCs w:val="28"/>
          <w:lang w:val="en-US" w:eastAsia="zh-CN"/>
        </w:rPr>
        <w:t>为驰名商标</w:t>
      </w:r>
      <w:r>
        <w:rPr>
          <w:rFonts w:hint="eastAsia" w:ascii="仿宋" w:hAnsi="仿宋" w:eastAsia="仿宋" w:cs="仿宋"/>
          <w:b w:val="0"/>
          <w:bCs/>
          <w:color w:val="000000"/>
          <w:sz w:val="28"/>
          <w:szCs w:val="28"/>
        </w:rPr>
        <w:t>。</w:t>
      </w:r>
      <w:r>
        <w:rPr>
          <w:rFonts w:hint="eastAsia" w:ascii="仿宋" w:hAnsi="仿宋" w:eastAsia="仿宋" w:cs="仿宋"/>
          <w:b w:val="0"/>
          <w:bCs/>
          <w:sz w:val="28"/>
          <w:szCs w:val="28"/>
        </w:rPr>
        <w:t>已为一汽、二汽、格力、美的、苏州利来、宁德时代、欧姆龙、公牛、精鸿益等大企业配套，并走出国门，客户群遍及欧亚美洲地区。</w:t>
      </w:r>
    </w:p>
    <w:p w14:paraId="4892D8C2">
      <w:pPr>
        <w:pStyle w:val="15"/>
        <w:keepNext w:val="0"/>
        <w:keepLines w:val="0"/>
        <w:pageBreakBefore w:val="0"/>
        <w:widowControl w:val="0"/>
        <w:numPr>
          <w:ilvl w:val="0"/>
          <w:numId w:val="4"/>
        </w:numPr>
        <w:kinsoku/>
        <w:wordWrap/>
        <w:overflowPunct/>
        <w:topLinePunct w:val="0"/>
        <w:autoSpaceDE/>
        <w:autoSpaceDN/>
        <w:bidi w:val="0"/>
        <w:adjustRightInd/>
        <w:snapToGrid/>
        <w:spacing w:before="0" w:after="0"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公司治理结构</w:t>
      </w:r>
    </w:p>
    <w:p w14:paraId="4A8D5EE1">
      <w:pPr>
        <w:pStyle w:val="2"/>
        <w:keepNext w:val="0"/>
        <w:keepLines w:val="0"/>
        <w:pageBreakBefore w:val="0"/>
        <w:widowControl w:val="0"/>
        <w:kinsoku/>
        <w:wordWrap/>
        <w:overflowPunct/>
        <w:topLinePunct w:val="0"/>
        <w:autoSpaceDE/>
        <w:autoSpaceDN/>
        <w:bidi w:val="0"/>
        <w:adjustRightInd/>
        <w:snapToGrid/>
        <w:spacing w:after="0" w:line="600" w:lineRule="exact"/>
        <w:ind w:firstLine="480"/>
        <w:textAlignment w:val="auto"/>
        <w:rPr>
          <w:rFonts w:hint="eastAsia" w:ascii="仿宋" w:hAnsi="仿宋" w:eastAsia="仿宋" w:cs="仿宋"/>
          <w:sz w:val="28"/>
          <w:szCs w:val="28"/>
          <w:lang w:val="en-US"/>
        </w:rPr>
      </w:pPr>
      <w:r>
        <w:rPr>
          <w:rFonts w:hint="eastAsia" w:ascii="仿宋" w:hAnsi="仿宋" w:eastAsia="仿宋" w:cs="仿宋"/>
          <w:sz w:val="28"/>
          <w:szCs w:val="28"/>
        </w:rPr>
        <w:t>公司按照《公司法》和公司章程，建立了科学规范的公司治理结构，设立了董事会和监事会，</w:t>
      </w:r>
      <w:r>
        <w:rPr>
          <w:rFonts w:hint="eastAsia" w:ascii="仿宋" w:hAnsi="仿宋" w:eastAsia="仿宋" w:cs="仿宋"/>
          <w:sz w:val="28"/>
          <w:szCs w:val="28"/>
          <w:lang w:val="en-US"/>
        </w:rPr>
        <w:t>建立党支部和工会，加强了党的领导，发挥了工会组织的民主管理作业，有力地</w:t>
      </w:r>
      <w:r>
        <w:rPr>
          <w:rFonts w:hint="eastAsia" w:ascii="仿宋" w:hAnsi="仿宋" w:eastAsia="仿宋" w:cs="仿宋"/>
          <w:sz w:val="28"/>
          <w:szCs w:val="28"/>
        </w:rPr>
        <w:t>强化了董事会决策能力。</w:t>
      </w:r>
      <w:r>
        <w:rPr>
          <w:rFonts w:hint="eastAsia" w:ascii="仿宋" w:hAnsi="仿宋" w:eastAsia="仿宋" w:cs="仿宋"/>
          <w:sz w:val="28"/>
          <w:szCs w:val="28"/>
          <w:lang w:val="en-US"/>
        </w:rPr>
        <w:t>组织架构清晰</w:t>
      </w:r>
      <w:r>
        <w:rPr>
          <w:rFonts w:hint="eastAsia" w:ascii="仿宋" w:hAnsi="仿宋" w:eastAsia="仿宋" w:cs="仿宋"/>
          <w:sz w:val="28"/>
          <w:szCs w:val="28"/>
        </w:rPr>
        <w:t>，高层领导的职权行使、重大投资、财务收支和经济活动等组织行为均纳入监管范围，上受董事会、监事会</w:t>
      </w:r>
      <w:r>
        <w:rPr>
          <w:rFonts w:hint="eastAsia" w:ascii="仿宋" w:hAnsi="仿宋" w:eastAsia="仿宋" w:cs="仿宋"/>
          <w:sz w:val="28"/>
          <w:szCs w:val="28"/>
          <w:lang w:val="en-US"/>
        </w:rPr>
        <w:t>和党支部</w:t>
      </w:r>
      <w:r>
        <w:rPr>
          <w:rFonts w:hint="eastAsia" w:ascii="仿宋" w:hAnsi="仿宋" w:eastAsia="仿宋" w:cs="仿宋"/>
          <w:sz w:val="28"/>
          <w:szCs w:val="28"/>
        </w:rPr>
        <w:t>的监督考评，下受来自员工的监督。</w:t>
      </w:r>
      <w:r>
        <w:rPr>
          <w:rFonts w:hint="eastAsia" w:ascii="仿宋" w:hAnsi="仿宋" w:eastAsia="仿宋" w:cs="仿宋"/>
          <w:sz w:val="28"/>
          <w:szCs w:val="28"/>
          <w:lang w:val="en-US"/>
        </w:rPr>
        <w:t>组织经营、道德、法律责任清晰，财务管理制度健全，经营管理透明有序，股东、员工、相关方利益得到有效保护。</w:t>
      </w:r>
    </w:p>
    <w:p w14:paraId="0E64D663">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color w:val="000000" w:themeColor="text1"/>
          <w:sz w:val="28"/>
          <w:szCs w:val="28"/>
          <w:highlight w:val="magenta"/>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随着产业升级和国家数字化、控碳节能等产业政策推进，压力机行业逐渐往智能化、高精密、节能化方向发展，公司根据行业发展趋势，积极开展管理创新：</w:t>
      </w:r>
      <w:r>
        <w:rPr>
          <w:rFonts w:hint="eastAsia" w:ascii="仿宋" w:hAnsi="仿宋" w:eastAsia="仿宋" w:cs="仿宋"/>
          <w:color w:val="000000" w:themeColor="text1"/>
          <w:sz w:val="28"/>
          <w:szCs w:val="28"/>
          <w:lang w:val="en-US" w:eastAsia="zh-CN"/>
          <w14:textFill>
            <w14:solidFill>
              <w14:schemeClr w14:val="tx1"/>
            </w14:solidFill>
          </w14:textFill>
        </w:rPr>
        <w:t>一是</w:t>
      </w:r>
      <w:r>
        <w:rPr>
          <w:rFonts w:hint="eastAsia" w:ascii="仿宋" w:hAnsi="仿宋" w:eastAsia="仿宋" w:cs="仿宋"/>
          <w:color w:val="000000" w:themeColor="text1"/>
          <w:sz w:val="28"/>
          <w:szCs w:val="28"/>
          <w14:textFill>
            <w14:solidFill>
              <w14:schemeClr w14:val="tx1"/>
            </w14:solidFill>
          </w14:textFill>
        </w:rPr>
        <w:t>调整公司组织架构，以生产为中心的传统模式向以客户为中心的模式转变，注重市场开发和客户需求响应；</w:t>
      </w:r>
      <w:r>
        <w:rPr>
          <w:rFonts w:hint="eastAsia" w:ascii="仿宋" w:hAnsi="仿宋" w:eastAsia="仿宋" w:cs="仿宋"/>
          <w:color w:val="000000" w:themeColor="text1"/>
          <w:sz w:val="28"/>
          <w:szCs w:val="28"/>
          <w:lang w:val="en-US" w:eastAsia="zh-CN"/>
          <w14:textFill>
            <w14:solidFill>
              <w14:schemeClr w14:val="tx1"/>
            </w14:solidFill>
          </w14:textFill>
        </w:rPr>
        <w:t>二是</w:t>
      </w:r>
      <w:r>
        <w:rPr>
          <w:rFonts w:hint="eastAsia" w:ascii="仿宋" w:hAnsi="仿宋" w:eastAsia="仿宋" w:cs="仿宋"/>
          <w:color w:val="000000" w:themeColor="text1"/>
          <w:sz w:val="28"/>
          <w:szCs w:val="28"/>
          <w14:textFill>
            <w14:solidFill>
              <w14:schemeClr w14:val="tx1"/>
            </w14:solidFill>
          </w14:textFill>
        </w:rPr>
        <w:t>加强信息化建设，应用云计算、大数据等先进信息技术，结合公司的ERP、PDM、MES等信息化系统，提高公司数字化运营水平，实现全流程可控可追溯；同时通过物联网技术和自主APP开发，实现设备的远程监控</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和故障预警和在线运维等功能。</w:t>
      </w:r>
      <w:r>
        <w:rPr>
          <w:rFonts w:hint="eastAsia" w:ascii="仿宋" w:hAnsi="仿宋" w:eastAsia="仿宋" w:cs="仿宋"/>
          <w:color w:val="000000" w:themeColor="text1"/>
          <w:sz w:val="28"/>
          <w:szCs w:val="28"/>
          <w:lang w:val="en-US" w:eastAsia="zh-CN"/>
          <w14:textFill>
            <w14:solidFill>
              <w14:schemeClr w14:val="tx1"/>
            </w14:solidFill>
          </w14:textFill>
        </w:rPr>
        <w:t>三是</w:t>
      </w:r>
      <w:r>
        <w:rPr>
          <w:rFonts w:hint="eastAsia" w:ascii="仿宋" w:hAnsi="仿宋" w:eastAsia="仿宋" w:cs="仿宋"/>
          <w:color w:val="000000" w:themeColor="text1"/>
          <w:sz w:val="28"/>
          <w:szCs w:val="28"/>
          <w14:textFill>
            <w14:solidFill>
              <w14:schemeClr w14:val="tx1"/>
            </w14:solidFill>
          </w14:textFill>
        </w:rPr>
        <w:t>优化供应链管理，通过供应商</w:t>
      </w:r>
      <w:r>
        <w:rPr>
          <w:rFonts w:hint="eastAsia" w:ascii="仿宋" w:hAnsi="仿宋" w:eastAsia="仿宋" w:cs="仿宋"/>
          <w:color w:val="000000" w:themeColor="text1"/>
          <w:sz w:val="28"/>
          <w:szCs w:val="28"/>
          <w:highlight w:val="none"/>
          <w:lang w:val="en-US" w:eastAsia="zh-CN"/>
          <w14:textFill>
            <w14:solidFill>
              <w14:schemeClr w14:val="tx1"/>
            </w14:solidFill>
          </w14:textFill>
        </w:rPr>
        <w:t>选择开发、绩效</w:t>
      </w:r>
      <w:r>
        <w:rPr>
          <w:rFonts w:hint="eastAsia" w:ascii="仿宋" w:hAnsi="仿宋" w:eastAsia="仿宋" w:cs="仿宋"/>
          <w:color w:val="000000" w:themeColor="text1"/>
          <w:sz w:val="28"/>
          <w:szCs w:val="28"/>
          <w:highlight w:val="none"/>
          <w14:textFill>
            <w14:solidFill>
              <w14:schemeClr w14:val="tx1"/>
            </w14:solidFill>
          </w14:textFill>
        </w:rPr>
        <w:t>评估、</w:t>
      </w:r>
      <w:r>
        <w:rPr>
          <w:rFonts w:hint="eastAsia" w:ascii="仿宋" w:hAnsi="仿宋" w:eastAsia="仿宋" w:cs="仿宋"/>
          <w:color w:val="000000" w:themeColor="text1"/>
          <w:sz w:val="28"/>
          <w:szCs w:val="28"/>
          <w:highlight w:val="none"/>
          <w:lang w:val="en-US" w:eastAsia="zh-CN"/>
          <w14:textFill>
            <w14:solidFill>
              <w14:schemeClr w14:val="tx1"/>
            </w14:solidFill>
          </w14:textFill>
        </w:rPr>
        <w:t>协同合作等举措，强化供应链建设，追求与供应商共赢，为供应商提供技术、管理、资金支持，</w:t>
      </w:r>
      <w:r>
        <w:rPr>
          <w:rFonts w:hint="eastAsia" w:ascii="仿宋" w:hAnsi="仿宋" w:eastAsia="仿宋" w:cs="仿宋"/>
          <w:color w:val="000000" w:themeColor="text1"/>
          <w:sz w:val="28"/>
          <w:szCs w:val="28"/>
          <w:highlight w:val="none"/>
          <w14:textFill>
            <w14:solidFill>
              <w14:schemeClr w14:val="tx1"/>
            </w14:solidFill>
          </w14:textFill>
        </w:rPr>
        <w:t>与优秀供应商建立更紧密合作关系，</w:t>
      </w:r>
      <w:r>
        <w:rPr>
          <w:rFonts w:hint="eastAsia" w:ascii="仿宋" w:hAnsi="仿宋" w:eastAsia="仿宋" w:cs="仿宋"/>
          <w:color w:val="000000" w:themeColor="text1"/>
          <w:sz w:val="28"/>
          <w:szCs w:val="28"/>
          <w:highlight w:val="none"/>
          <w:lang w:val="en-US" w:eastAsia="zh-CN"/>
          <w14:textFill>
            <w14:solidFill>
              <w14:schemeClr w14:val="tx1"/>
            </w14:solidFill>
          </w14:textFill>
        </w:rPr>
        <w:t>从而</w:t>
      </w:r>
      <w:r>
        <w:rPr>
          <w:rFonts w:hint="eastAsia" w:ascii="仿宋" w:hAnsi="仿宋" w:eastAsia="仿宋" w:cs="仿宋"/>
          <w:color w:val="000000" w:themeColor="text1"/>
          <w:sz w:val="28"/>
          <w:szCs w:val="28"/>
          <w:highlight w:val="none"/>
          <w14:textFill>
            <w14:solidFill>
              <w14:schemeClr w14:val="tx1"/>
            </w14:solidFill>
          </w14:textFill>
        </w:rPr>
        <w:t>降低采购成本，提高产品质量，增加</w:t>
      </w:r>
      <w:r>
        <w:rPr>
          <w:rFonts w:hint="eastAsia" w:ascii="仿宋" w:hAnsi="仿宋" w:eastAsia="仿宋" w:cs="仿宋"/>
          <w:color w:val="000000" w:themeColor="text1"/>
          <w:sz w:val="28"/>
          <w:szCs w:val="28"/>
          <w14:textFill>
            <w14:solidFill>
              <w14:schemeClr w14:val="tx1"/>
            </w14:solidFill>
          </w14:textFill>
        </w:rPr>
        <w:t>产品竞争力。</w:t>
      </w:r>
    </w:p>
    <w:p w14:paraId="115058E1">
      <w:pPr>
        <w:pStyle w:val="2"/>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（三）2024年经营概况</w:t>
      </w:r>
    </w:p>
    <w:p w14:paraId="255C8DFF">
      <w:pPr>
        <w:pStyle w:val="33"/>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2024年，公司积极应对错综复杂的国内外经济形势，紧紧围绕“技术驱动、精细管理、品牌引领”的工作思路，推进公司的跨越式发展。</w:t>
      </w:r>
      <w:r>
        <w:rPr>
          <w:rFonts w:hint="eastAsia" w:ascii="仿宋" w:hAnsi="仿宋" w:eastAsia="仿宋" w:cs="仿宋"/>
          <w:color w:val="000000"/>
          <w:sz w:val="28"/>
          <w:szCs w:val="28"/>
          <w:highlight w:val="none"/>
          <w:lang w:val="en-US" w:eastAsia="zh-CN"/>
        </w:rPr>
        <w:t>公司的智能高速精密压力机销售遍及欧亚美洲地区，成为戴尔、一汽、华为、格力、美的、宁德时代等全球500强企业的优质供应商，为企业创造了良好的经济效益。</w:t>
      </w:r>
    </w:p>
    <w:p w14:paraId="5830AB6B">
      <w:pPr>
        <w:pStyle w:val="33"/>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仿宋" w:hAnsi="仿宋" w:eastAsia="仿宋" w:cs="仿宋"/>
          <w:b w:val="0"/>
          <w:bCs w:val="0"/>
          <w:color w:val="000000"/>
          <w:sz w:val="28"/>
          <w:szCs w:val="28"/>
          <w:lang w:val="en-US" w:eastAsia="zh-CN"/>
        </w:rPr>
      </w:pPr>
      <w:r>
        <w:rPr>
          <w:rFonts w:hint="eastAsia" w:ascii="仿宋" w:hAnsi="仿宋" w:eastAsia="仿宋" w:cs="仿宋"/>
          <w:color w:val="000000"/>
          <w:sz w:val="28"/>
          <w:szCs w:val="28"/>
          <w:highlight w:val="none"/>
          <w:lang w:val="en-US" w:eastAsia="zh-CN"/>
        </w:rPr>
        <w:t>2024年，公司主营业务收入50923万元，</w:t>
      </w:r>
      <w:r>
        <w:rPr>
          <w:rFonts w:hint="eastAsia" w:ascii="仿宋" w:hAnsi="仿宋" w:eastAsia="仿宋" w:cs="仿宋"/>
          <w:b w:val="0"/>
          <w:bCs w:val="0"/>
          <w:color w:val="000000"/>
          <w:sz w:val="28"/>
          <w:szCs w:val="28"/>
          <w:highlight w:val="none"/>
          <w:lang w:val="en-US" w:eastAsia="zh-CN"/>
        </w:rPr>
        <w:t>同比增长4.33%。</w:t>
      </w:r>
      <w:r>
        <w:rPr>
          <w:rFonts w:hint="eastAsia" w:ascii="仿宋" w:hAnsi="仿宋" w:eastAsia="仿宋" w:cs="仿宋"/>
          <w:b w:val="0"/>
          <w:bCs w:val="0"/>
          <w:color w:val="000000"/>
          <w:sz w:val="28"/>
          <w:szCs w:val="28"/>
          <w:lang w:val="en-US" w:eastAsia="zh-CN"/>
        </w:rPr>
        <w:t>实现利润</w:t>
      </w:r>
      <w:r>
        <w:rPr>
          <w:rFonts w:hint="eastAsia" w:ascii="仿宋" w:hAnsi="仿宋" w:eastAsia="仿宋" w:cs="仿宋"/>
          <w:b w:val="0"/>
          <w:bCs w:val="0"/>
          <w:color w:val="000000"/>
          <w:sz w:val="28"/>
          <w:szCs w:val="28"/>
          <w:highlight w:val="none"/>
          <w:lang w:val="en-US" w:eastAsia="zh-CN"/>
        </w:rPr>
        <w:t>3615万元</w:t>
      </w:r>
      <w:r>
        <w:rPr>
          <w:rFonts w:hint="eastAsia" w:ascii="仿宋" w:hAnsi="仿宋" w:eastAsia="仿宋" w:cs="仿宋"/>
          <w:b w:val="0"/>
          <w:bCs w:val="0"/>
          <w:color w:val="000000"/>
          <w:sz w:val="28"/>
          <w:szCs w:val="28"/>
          <w:lang w:val="en-US" w:eastAsia="zh-CN"/>
        </w:rPr>
        <w:t>，同比增长16%。</w:t>
      </w:r>
    </w:p>
    <w:p w14:paraId="4798C4A5">
      <w:pPr>
        <w:pageBreakBefore w:val="0"/>
        <w:kinsoku/>
        <w:overflowPunct/>
        <w:topLinePunct w:val="0"/>
        <w:bidi w:val="0"/>
        <w:spacing w:line="360" w:lineRule="auto"/>
        <w:jc w:val="center"/>
        <w:rPr>
          <w:rFonts w:hint="eastAsia" w:ascii="仿宋" w:hAnsi="仿宋" w:eastAsia="仿宋" w:cs="仿宋"/>
          <w:b/>
          <w:bCs/>
          <w:color w:val="000000"/>
          <w:kern w:val="0"/>
          <w:sz w:val="28"/>
          <w:szCs w:val="28"/>
          <w:lang w:bidi="zh-TW"/>
        </w:rPr>
      </w:pPr>
      <w:r>
        <w:rPr>
          <w:rFonts w:hint="eastAsia" w:ascii="仿宋" w:hAnsi="仿宋" w:eastAsia="仿宋" w:cs="仿宋"/>
          <w:b/>
          <w:bCs/>
          <w:color w:val="000000"/>
          <w:kern w:val="0"/>
          <w:sz w:val="28"/>
          <w:szCs w:val="28"/>
          <w:lang w:bidi="zh-TW"/>
        </w:rPr>
        <w:t>表1.1近三年主要经营指标</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6"/>
        <w:gridCol w:w="2625"/>
        <w:gridCol w:w="1763"/>
        <w:gridCol w:w="1412"/>
        <w:gridCol w:w="1168"/>
      </w:tblGrid>
      <w:tr w14:paraId="01F0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jc w:val="center"/>
        </w:trPr>
        <w:tc>
          <w:tcPr>
            <w:tcW w:w="2206" w:type="dxa"/>
            <w:shd w:val="clear" w:color="auto" w:fill="0070C0"/>
            <w:vAlign w:val="center"/>
          </w:tcPr>
          <w:p w14:paraId="092FF3A2">
            <w:pPr>
              <w:keepNext w:val="0"/>
              <w:keepLines w:val="0"/>
              <w:pageBreakBefore w:val="0"/>
              <w:kinsoku/>
              <w:overflowPunct/>
              <w:topLinePunct w:val="0"/>
              <w:autoSpaceDE/>
              <w:autoSpaceDN/>
              <w:bidi w:val="0"/>
              <w:adjustRightInd/>
              <w:snapToGrid w:val="0"/>
              <w:spacing w:line="600" w:lineRule="exact"/>
              <w:jc w:val="center"/>
              <w:textAlignment w:val="auto"/>
              <w:rPr>
                <w:rFonts w:hint="default" w:ascii="仿宋" w:hAnsi="仿宋" w:eastAsia="仿宋" w:cs="仿宋"/>
                <w:b/>
                <w:bCs/>
                <w:color w:val="FFFFFF" w:themeColor="background1"/>
                <w:sz w:val="28"/>
                <w:szCs w:val="28"/>
                <w:lang w:val="en-US" w:eastAsia="zh-CN"/>
                <w14:textFill>
                  <w14:solidFill>
                    <w14:schemeClr w14:val="bg1"/>
                  </w14:solidFill>
                </w14:textFill>
              </w:rPr>
            </w:pPr>
            <w:r>
              <w:rPr>
                <w:rFonts w:hint="eastAsia" w:ascii="仿宋" w:hAnsi="仿宋" w:eastAsia="仿宋" w:cs="仿宋"/>
                <w:b/>
                <w:bCs/>
                <w:color w:val="FFFFFF" w:themeColor="background1"/>
                <w:sz w:val="28"/>
                <w:szCs w:val="28"/>
                <w:lang w:val="en-US" w:eastAsia="zh-CN"/>
                <w14:textFill>
                  <w14:solidFill>
                    <w14:schemeClr w14:val="bg1"/>
                  </w14:solidFill>
                </w14:textFill>
              </w:rPr>
              <w:t>指标分类</w:t>
            </w:r>
          </w:p>
        </w:tc>
        <w:tc>
          <w:tcPr>
            <w:tcW w:w="2625" w:type="dxa"/>
            <w:shd w:val="clear" w:color="auto" w:fill="0070C0"/>
            <w:vAlign w:val="center"/>
          </w:tcPr>
          <w:p w14:paraId="761CAE76">
            <w:pPr>
              <w:keepNext w:val="0"/>
              <w:keepLines w:val="0"/>
              <w:pageBreakBefore w:val="0"/>
              <w:kinsoku/>
              <w:overflowPunct/>
              <w:topLinePunct w:val="0"/>
              <w:autoSpaceDE/>
              <w:autoSpaceDN/>
              <w:bidi w:val="0"/>
              <w:adjustRightInd/>
              <w:snapToGrid w:val="0"/>
              <w:spacing w:line="600" w:lineRule="exact"/>
              <w:jc w:val="center"/>
              <w:textAlignment w:val="auto"/>
              <w:rPr>
                <w:rFonts w:hint="default" w:ascii="仿宋" w:hAnsi="仿宋" w:eastAsia="仿宋" w:cs="仿宋"/>
                <w:b/>
                <w:bCs/>
                <w:color w:val="FFFFFF" w:themeColor="background1"/>
                <w:sz w:val="28"/>
                <w:szCs w:val="28"/>
                <w:lang w:val="en-US" w:eastAsia="zh-CN"/>
                <w14:textFill>
                  <w14:solidFill>
                    <w14:schemeClr w14:val="bg1"/>
                  </w14:solidFill>
                </w14:textFill>
              </w:rPr>
            </w:pPr>
            <w:r>
              <w:rPr>
                <w:rFonts w:hint="eastAsia" w:ascii="仿宋" w:hAnsi="仿宋" w:eastAsia="仿宋" w:cs="仿宋"/>
                <w:b/>
                <w:bCs/>
                <w:color w:val="FFFFFF" w:themeColor="background1"/>
                <w:sz w:val="28"/>
                <w:szCs w:val="28"/>
                <w:lang w:val="en-US" w:eastAsia="zh-CN"/>
                <w14:textFill>
                  <w14:solidFill>
                    <w14:schemeClr w14:val="bg1"/>
                  </w14:solidFill>
                </w14:textFill>
              </w:rPr>
              <w:t>财务指标</w:t>
            </w:r>
          </w:p>
        </w:tc>
        <w:tc>
          <w:tcPr>
            <w:tcW w:w="1763" w:type="dxa"/>
            <w:shd w:val="clear" w:color="auto" w:fill="0070C0"/>
            <w:vAlign w:val="center"/>
          </w:tcPr>
          <w:p w14:paraId="1B8A3B72">
            <w:pPr>
              <w:keepNext w:val="0"/>
              <w:keepLines w:val="0"/>
              <w:pageBreakBefore w:val="0"/>
              <w:kinsoku/>
              <w:overflowPunct/>
              <w:topLinePunct w:val="0"/>
              <w:autoSpaceDE/>
              <w:autoSpaceDN/>
              <w:bidi w:val="0"/>
              <w:adjustRightInd/>
              <w:snapToGrid w:val="0"/>
              <w:spacing w:line="600" w:lineRule="exact"/>
              <w:jc w:val="center"/>
              <w:textAlignment w:val="auto"/>
              <w:rPr>
                <w:rFonts w:hint="eastAsia" w:ascii="仿宋" w:hAnsi="仿宋" w:eastAsia="仿宋" w:cs="仿宋"/>
                <w:b/>
                <w:bCs/>
                <w:color w:val="FFFFFF" w:themeColor="background1"/>
                <w:kern w:val="2"/>
                <w:sz w:val="28"/>
                <w:szCs w:val="28"/>
                <w:lang w:val="en-US" w:eastAsia="zh-CN" w:bidi="ar-SA"/>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2022年</w:t>
            </w:r>
          </w:p>
        </w:tc>
        <w:tc>
          <w:tcPr>
            <w:tcW w:w="1412" w:type="dxa"/>
            <w:shd w:val="clear" w:color="auto" w:fill="0070C0"/>
            <w:vAlign w:val="center"/>
          </w:tcPr>
          <w:p w14:paraId="1446ACD3">
            <w:pPr>
              <w:keepNext w:val="0"/>
              <w:keepLines w:val="0"/>
              <w:pageBreakBefore w:val="0"/>
              <w:kinsoku/>
              <w:overflowPunct/>
              <w:topLinePunct w:val="0"/>
              <w:autoSpaceDE/>
              <w:autoSpaceDN/>
              <w:bidi w:val="0"/>
              <w:adjustRightInd/>
              <w:snapToGrid w:val="0"/>
              <w:spacing w:line="600" w:lineRule="exact"/>
              <w:jc w:val="center"/>
              <w:textAlignment w:val="auto"/>
              <w:rPr>
                <w:rFonts w:hint="eastAsia" w:ascii="仿宋" w:hAnsi="仿宋" w:eastAsia="仿宋" w:cs="仿宋"/>
                <w:b/>
                <w:bCs/>
                <w:color w:val="FFFFFF" w:themeColor="background1"/>
                <w:kern w:val="2"/>
                <w:sz w:val="28"/>
                <w:szCs w:val="28"/>
                <w:lang w:val="en-US" w:eastAsia="zh-CN" w:bidi="ar-SA"/>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2023年</w:t>
            </w:r>
          </w:p>
        </w:tc>
        <w:tc>
          <w:tcPr>
            <w:tcW w:w="1168" w:type="dxa"/>
            <w:shd w:val="clear" w:color="auto" w:fill="0070C0"/>
            <w:vAlign w:val="center"/>
          </w:tcPr>
          <w:p w14:paraId="7F4CD401">
            <w:pPr>
              <w:keepNext w:val="0"/>
              <w:keepLines w:val="0"/>
              <w:pageBreakBefore w:val="0"/>
              <w:kinsoku/>
              <w:overflowPunct/>
              <w:topLinePunct w:val="0"/>
              <w:autoSpaceDE/>
              <w:autoSpaceDN/>
              <w:bidi w:val="0"/>
              <w:adjustRightInd/>
              <w:snapToGrid w:val="0"/>
              <w:spacing w:line="600" w:lineRule="exact"/>
              <w:jc w:val="center"/>
              <w:textAlignment w:val="auto"/>
              <w:rPr>
                <w:rFonts w:hint="default" w:ascii="仿宋" w:hAnsi="仿宋" w:eastAsia="仿宋" w:cs="仿宋"/>
                <w:b/>
                <w:bCs/>
                <w:color w:val="FFFFFF" w:themeColor="background1"/>
                <w:sz w:val="28"/>
                <w:szCs w:val="28"/>
                <w:lang w:val="en-US" w:eastAsia="zh-CN"/>
                <w14:textFill>
                  <w14:solidFill>
                    <w14:schemeClr w14:val="bg1"/>
                  </w14:solidFill>
                </w14:textFill>
              </w:rPr>
            </w:pPr>
            <w:r>
              <w:rPr>
                <w:rFonts w:hint="eastAsia" w:ascii="仿宋" w:hAnsi="仿宋" w:eastAsia="仿宋" w:cs="仿宋"/>
                <w:b/>
                <w:bCs/>
                <w:color w:val="FFFFFF" w:themeColor="background1"/>
                <w:sz w:val="28"/>
                <w:szCs w:val="28"/>
                <w:lang w:val="en-US" w:eastAsia="zh-CN"/>
                <w14:textFill>
                  <w14:solidFill>
                    <w14:schemeClr w14:val="bg1"/>
                  </w14:solidFill>
                </w14:textFill>
              </w:rPr>
              <w:t>2024年</w:t>
            </w:r>
          </w:p>
        </w:tc>
      </w:tr>
      <w:tr w14:paraId="52839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6" w:type="dxa"/>
            <w:vMerge w:val="restart"/>
            <w:shd w:val="clear" w:color="auto" w:fill="FFFFFF"/>
            <w:vAlign w:val="center"/>
          </w:tcPr>
          <w:p w14:paraId="6C6262B3">
            <w:pPr>
              <w:pageBreakBefore w:val="0"/>
              <w:kinsoku/>
              <w:overflowPunct/>
              <w:topLinePunct w:val="0"/>
              <w:bidi w:val="0"/>
              <w:jc w:val="center"/>
              <w:rPr>
                <w:rFonts w:hint="eastAsia" w:ascii="仿宋" w:hAnsi="仿宋" w:eastAsia="仿宋" w:cs="仿宋"/>
                <w:b/>
                <w:kern w:val="2"/>
                <w:sz w:val="28"/>
                <w:szCs w:val="28"/>
                <w:lang w:val="en-US" w:eastAsia="zh-CN" w:bidi="ar-SA"/>
              </w:rPr>
            </w:pPr>
            <w:r>
              <w:rPr>
                <w:rFonts w:hint="eastAsia" w:ascii="仿宋" w:hAnsi="仿宋" w:eastAsia="仿宋" w:cs="仿宋"/>
                <w:b/>
                <w:sz w:val="28"/>
                <w:szCs w:val="28"/>
              </w:rPr>
              <w:t>营业收入</w:t>
            </w:r>
          </w:p>
          <w:p w14:paraId="1774BD56">
            <w:pPr>
              <w:pageBreakBefore w:val="0"/>
              <w:kinsoku/>
              <w:overflowPunct/>
              <w:topLinePunct w:val="0"/>
              <w:bidi w:val="0"/>
              <w:snapToGrid w:val="0"/>
              <w:jc w:val="center"/>
              <w:rPr>
                <w:rFonts w:hint="eastAsia" w:ascii="仿宋" w:hAnsi="仿宋" w:eastAsia="仿宋" w:cs="仿宋"/>
                <w:sz w:val="28"/>
                <w:szCs w:val="28"/>
              </w:rPr>
            </w:pPr>
          </w:p>
        </w:tc>
        <w:tc>
          <w:tcPr>
            <w:tcW w:w="2625" w:type="dxa"/>
            <w:shd w:val="clear" w:color="auto" w:fill="FFFFFF"/>
            <w:vAlign w:val="center"/>
          </w:tcPr>
          <w:p w14:paraId="58136920">
            <w:pPr>
              <w:pageBreakBefore w:val="0"/>
              <w:kinsoku/>
              <w:overflowPunct/>
              <w:topLinePunct w:val="0"/>
              <w:bidi w:val="0"/>
              <w:ind w:left="-19" w:leftChars="-9" w:right="-55" w:rightChars="-26"/>
              <w:rPr>
                <w:rFonts w:hint="eastAsia" w:ascii="仿宋" w:hAnsi="仿宋" w:eastAsia="仿宋" w:cs="仿宋"/>
                <w:kern w:val="2"/>
                <w:sz w:val="28"/>
                <w:szCs w:val="28"/>
                <w:lang w:val="en-US" w:eastAsia="zh-CN" w:bidi="ar-SA"/>
              </w:rPr>
            </w:pPr>
            <w:r>
              <w:rPr>
                <w:rFonts w:hint="eastAsia" w:ascii="仿宋" w:hAnsi="仿宋" w:eastAsia="仿宋" w:cs="仿宋"/>
                <w:sz w:val="28"/>
                <w:szCs w:val="28"/>
              </w:rPr>
              <w:t>营业收入（万元）</w:t>
            </w:r>
          </w:p>
        </w:tc>
        <w:tc>
          <w:tcPr>
            <w:tcW w:w="1763" w:type="dxa"/>
            <w:shd w:val="clear" w:color="auto" w:fill="FFFFFF"/>
            <w:vAlign w:val="center"/>
          </w:tcPr>
          <w:p w14:paraId="5BAAC0DA">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46543</w:t>
            </w:r>
          </w:p>
        </w:tc>
        <w:tc>
          <w:tcPr>
            <w:tcW w:w="1412" w:type="dxa"/>
            <w:shd w:val="clear" w:color="auto" w:fill="FFFFFF"/>
            <w:vAlign w:val="center"/>
          </w:tcPr>
          <w:p w14:paraId="572D1B03">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48809</w:t>
            </w:r>
          </w:p>
        </w:tc>
        <w:tc>
          <w:tcPr>
            <w:tcW w:w="1168" w:type="dxa"/>
            <w:vAlign w:val="center"/>
          </w:tcPr>
          <w:p w14:paraId="38D9589B">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50923</w:t>
            </w:r>
          </w:p>
        </w:tc>
      </w:tr>
      <w:tr w14:paraId="6663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6" w:type="dxa"/>
            <w:vMerge w:val="continue"/>
          </w:tcPr>
          <w:p w14:paraId="7F22796E">
            <w:pPr>
              <w:pageBreakBefore w:val="0"/>
              <w:kinsoku/>
              <w:overflowPunct/>
              <w:topLinePunct w:val="0"/>
              <w:bidi w:val="0"/>
              <w:snapToGrid w:val="0"/>
              <w:jc w:val="center"/>
              <w:rPr>
                <w:rFonts w:hint="eastAsia" w:ascii="仿宋" w:hAnsi="仿宋" w:eastAsia="仿宋" w:cs="仿宋"/>
                <w:sz w:val="28"/>
                <w:szCs w:val="28"/>
              </w:rPr>
            </w:pPr>
          </w:p>
        </w:tc>
        <w:tc>
          <w:tcPr>
            <w:tcW w:w="2625" w:type="dxa"/>
            <w:shd w:val="clear" w:color="auto" w:fill="FFFFFF"/>
            <w:vAlign w:val="center"/>
          </w:tcPr>
          <w:p w14:paraId="28BE6331">
            <w:pPr>
              <w:pageBreakBefore w:val="0"/>
              <w:kinsoku/>
              <w:overflowPunct/>
              <w:topLinePunct w:val="0"/>
              <w:bidi w:val="0"/>
              <w:ind w:left="-19" w:leftChars="-9" w:right="-55" w:rightChars="-26"/>
              <w:rPr>
                <w:rFonts w:hint="eastAsia" w:ascii="仿宋" w:hAnsi="仿宋" w:eastAsia="仿宋" w:cs="仿宋"/>
                <w:kern w:val="2"/>
                <w:sz w:val="28"/>
                <w:szCs w:val="28"/>
                <w:lang w:val="en-US" w:eastAsia="zh-CN" w:bidi="ar-SA"/>
              </w:rPr>
            </w:pPr>
            <w:r>
              <w:rPr>
                <w:rFonts w:hint="eastAsia" w:ascii="仿宋" w:hAnsi="仿宋" w:eastAsia="仿宋" w:cs="仿宋"/>
                <w:sz w:val="28"/>
                <w:szCs w:val="28"/>
              </w:rPr>
              <w:t>营业收入增长率（%）</w:t>
            </w:r>
          </w:p>
        </w:tc>
        <w:tc>
          <w:tcPr>
            <w:tcW w:w="1763" w:type="dxa"/>
            <w:shd w:val="clear" w:color="auto" w:fill="FFFFFF"/>
            <w:vAlign w:val="center"/>
          </w:tcPr>
          <w:p w14:paraId="3D210A61">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-8.8</w:t>
            </w:r>
          </w:p>
        </w:tc>
        <w:tc>
          <w:tcPr>
            <w:tcW w:w="1412" w:type="dxa"/>
            <w:shd w:val="clear" w:color="auto" w:fill="FFFFFF"/>
            <w:vAlign w:val="center"/>
          </w:tcPr>
          <w:p w14:paraId="5623A358">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4.9</w:t>
            </w:r>
          </w:p>
        </w:tc>
        <w:tc>
          <w:tcPr>
            <w:tcW w:w="1168" w:type="dxa"/>
            <w:vAlign w:val="center"/>
          </w:tcPr>
          <w:p w14:paraId="78883180">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4.3</w:t>
            </w:r>
          </w:p>
        </w:tc>
      </w:tr>
      <w:tr w14:paraId="0C02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6" w:type="dxa"/>
            <w:vMerge w:val="restart"/>
            <w:shd w:val="clear" w:color="auto" w:fill="FFFFFF"/>
            <w:vAlign w:val="center"/>
          </w:tcPr>
          <w:p w14:paraId="156282DF">
            <w:pPr>
              <w:pageBreakBefore w:val="0"/>
              <w:kinsoku/>
              <w:overflowPunct/>
              <w:topLinePunct w:val="0"/>
              <w:bidi w:val="0"/>
              <w:jc w:val="center"/>
              <w:rPr>
                <w:rFonts w:hint="eastAsia" w:ascii="仿宋" w:hAnsi="仿宋" w:eastAsia="仿宋" w:cs="仿宋"/>
                <w:b/>
                <w:kern w:val="2"/>
                <w:sz w:val="28"/>
                <w:szCs w:val="28"/>
                <w:lang w:val="en-US" w:eastAsia="zh-CN" w:bidi="ar-SA"/>
              </w:rPr>
            </w:pPr>
            <w:r>
              <w:rPr>
                <w:rFonts w:hint="eastAsia" w:ascii="仿宋" w:hAnsi="仿宋" w:eastAsia="仿宋" w:cs="仿宋"/>
                <w:b/>
                <w:sz w:val="28"/>
                <w:szCs w:val="28"/>
              </w:rPr>
              <w:t>利润总额</w:t>
            </w:r>
          </w:p>
          <w:p w14:paraId="324B7BD2">
            <w:pPr>
              <w:pageBreakBefore w:val="0"/>
              <w:kinsoku/>
              <w:overflowPunct/>
              <w:topLinePunct w:val="0"/>
              <w:bidi w:val="0"/>
              <w:snapToGrid w:val="0"/>
              <w:jc w:val="center"/>
              <w:rPr>
                <w:rFonts w:hint="eastAsia" w:ascii="仿宋" w:hAnsi="仿宋" w:eastAsia="仿宋" w:cs="仿宋"/>
                <w:sz w:val="28"/>
                <w:szCs w:val="28"/>
              </w:rPr>
            </w:pPr>
          </w:p>
        </w:tc>
        <w:tc>
          <w:tcPr>
            <w:tcW w:w="2625" w:type="dxa"/>
            <w:shd w:val="clear" w:color="auto" w:fill="FFFFFF"/>
            <w:vAlign w:val="center"/>
          </w:tcPr>
          <w:p w14:paraId="25FC1BB4">
            <w:pPr>
              <w:pageBreakBefore w:val="0"/>
              <w:kinsoku/>
              <w:overflowPunct/>
              <w:topLinePunct w:val="0"/>
              <w:bidi w:val="0"/>
              <w:ind w:left="-19" w:leftChars="-9" w:right="-55" w:rightChars="-26"/>
              <w:rPr>
                <w:rFonts w:hint="eastAsia" w:ascii="仿宋" w:hAnsi="仿宋" w:eastAsia="仿宋" w:cs="仿宋"/>
                <w:kern w:val="2"/>
                <w:sz w:val="28"/>
                <w:szCs w:val="28"/>
                <w:lang w:val="en-US" w:eastAsia="zh-CN" w:bidi="ar-SA"/>
              </w:rPr>
            </w:pPr>
            <w:r>
              <w:rPr>
                <w:rFonts w:hint="eastAsia" w:ascii="仿宋" w:hAnsi="仿宋" w:eastAsia="仿宋" w:cs="仿宋"/>
                <w:sz w:val="28"/>
                <w:szCs w:val="28"/>
              </w:rPr>
              <w:t>利润总额（万元）</w:t>
            </w:r>
          </w:p>
        </w:tc>
        <w:tc>
          <w:tcPr>
            <w:tcW w:w="1763" w:type="dxa"/>
            <w:shd w:val="clear" w:color="auto" w:fill="FFFFFF"/>
            <w:vAlign w:val="center"/>
          </w:tcPr>
          <w:p w14:paraId="0A2BB34C">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9617</w:t>
            </w:r>
          </w:p>
        </w:tc>
        <w:tc>
          <w:tcPr>
            <w:tcW w:w="1412" w:type="dxa"/>
            <w:shd w:val="clear" w:color="auto" w:fill="FFFFFF"/>
            <w:vAlign w:val="center"/>
          </w:tcPr>
          <w:p w14:paraId="1E13E26B">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3117</w:t>
            </w:r>
          </w:p>
        </w:tc>
        <w:tc>
          <w:tcPr>
            <w:tcW w:w="1168" w:type="dxa"/>
            <w:vAlign w:val="center"/>
          </w:tcPr>
          <w:p w14:paraId="6717A2F8">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3615</w:t>
            </w:r>
          </w:p>
        </w:tc>
      </w:tr>
      <w:tr w14:paraId="193A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6" w:type="dxa"/>
            <w:vMerge w:val="continue"/>
          </w:tcPr>
          <w:p w14:paraId="12A0C85D">
            <w:pPr>
              <w:pageBreakBefore w:val="0"/>
              <w:kinsoku/>
              <w:overflowPunct/>
              <w:topLinePunct w:val="0"/>
              <w:bidi w:val="0"/>
              <w:snapToGrid w:val="0"/>
              <w:jc w:val="center"/>
              <w:rPr>
                <w:rFonts w:hint="eastAsia" w:ascii="仿宋" w:hAnsi="仿宋" w:eastAsia="仿宋" w:cs="仿宋"/>
                <w:sz w:val="28"/>
                <w:szCs w:val="28"/>
              </w:rPr>
            </w:pPr>
          </w:p>
        </w:tc>
        <w:tc>
          <w:tcPr>
            <w:tcW w:w="2625" w:type="dxa"/>
            <w:shd w:val="clear" w:color="auto" w:fill="FFFFFF"/>
            <w:vAlign w:val="center"/>
          </w:tcPr>
          <w:p w14:paraId="095B92E6">
            <w:pPr>
              <w:pageBreakBefore w:val="0"/>
              <w:kinsoku/>
              <w:overflowPunct/>
              <w:topLinePunct w:val="0"/>
              <w:bidi w:val="0"/>
              <w:ind w:left="-19" w:leftChars="-9" w:right="-55" w:rightChars="-26"/>
              <w:rPr>
                <w:rFonts w:hint="eastAsia" w:ascii="仿宋" w:hAnsi="仿宋" w:eastAsia="仿宋" w:cs="仿宋"/>
                <w:kern w:val="2"/>
                <w:sz w:val="28"/>
                <w:szCs w:val="28"/>
                <w:lang w:val="en-US" w:eastAsia="zh-CN" w:bidi="ar-SA"/>
              </w:rPr>
            </w:pPr>
            <w:r>
              <w:rPr>
                <w:rFonts w:hint="eastAsia" w:ascii="仿宋" w:hAnsi="仿宋" w:eastAsia="仿宋" w:cs="仿宋"/>
                <w:sz w:val="28"/>
                <w:szCs w:val="28"/>
              </w:rPr>
              <w:t>利润总额增长率（%）</w:t>
            </w:r>
          </w:p>
        </w:tc>
        <w:tc>
          <w:tcPr>
            <w:tcW w:w="1763" w:type="dxa"/>
            <w:shd w:val="clear" w:color="auto" w:fill="FFFFFF"/>
            <w:vAlign w:val="center"/>
          </w:tcPr>
          <w:p w14:paraId="477B24D8">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227</w:t>
            </w:r>
          </w:p>
        </w:tc>
        <w:tc>
          <w:tcPr>
            <w:tcW w:w="1412" w:type="dxa"/>
            <w:shd w:val="clear" w:color="auto" w:fill="FFFFFF"/>
            <w:vAlign w:val="center"/>
          </w:tcPr>
          <w:p w14:paraId="5130A618">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-67.6</w:t>
            </w:r>
          </w:p>
        </w:tc>
        <w:tc>
          <w:tcPr>
            <w:tcW w:w="1168" w:type="dxa"/>
            <w:vAlign w:val="center"/>
          </w:tcPr>
          <w:p w14:paraId="1435FEC4">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16</w:t>
            </w:r>
          </w:p>
        </w:tc>
      </w:tr>
      <w:tr w14:paraId="124B1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6" w:type="dxa"/>
            <w:vMerge w:val="restart"/>
            <w:shd w:val="clear" w:color="auto" w:fill="FFFFFF"/>
            <w:vAlign w:val="center"/>
          </w:tcPr>
          <w:p w14:paraId="211AAC3C">
            <w:pPr>
              <w:pageBreakBefore w:val="0"/>
              <w:kinsoku/>
              <w:overflowPunct/>
              <w:topLinePunct w:val="0"/>
              <w:bidi w:val="0"/>
              <w:snapToGrid w:val="0"/>
              <w:jc w:val="center"/>
              <w:rPr>
                <w:rFonts w:hint="default" w:ascii="仿宋" w:hAnsi="仿宋" w:eastAsia="仿宋" w:cs="仿宋"/>
                <w:sz w:val="28"/>
                <w:szCs w:val="28"/>
                <w:lang w:val="en-US" w:eastAsia="zh-CN"/>
              </w:rPr>
            </w:pPr>
            <w:r>
              <w:rPr>
                <w:rFonts w:hint="eastAsia" w:ascii="仿宋" w:hAnsi="仿宋" w:eastAsia="仿宋" w:cs="仿宋"/>
                <w:b/>
                <w:sz w:val="28"/>
                <w:szCs w:val="28"/>
                <w:lang w:val="en-US" w:eastAsia="zh-CN"/>
              </w:rPr>
              <w:t>税收贡献</w:t>
            </w:r>
          </w:p>
        </w:tc>
        <w:tc>
          <w:tcPr>
            <w:tcW w:w="2625" w:type="dxa"/>
            <w:shd w:val="clear" w:color="auto" w:fill="FFFFFF"/>
            <w:vAlign w:val="center"/>
          </w:tcPr>
          <w:p w14:paraId="5F15DD7B">
            <w:pPr>
              <w:pageBreakBefore w:val="0"/>
              <w:kinsoku/>
              <w:overflowPunct/>
              <w:topLinePunct w:val="0"/>
              <w:bidi w:val="0"/>
              <w:ind w:left="-19" w:leftChars="-9" w:right="-55" w:rightChars="-26"/>
              <w:rPr>
                <w:rFonts w:hint="eastAsia" w:ascii="仿宋" w:hAnsi="仿宋" w:eastAsia="仿宋" w:cs="仿宋"/>
                <w:kern w:val="2"/>
                <w:sz w:val="28"/>
                <w:szCs w:val="28"/>
                <w:lang w:val="en-US" w:eastAsia="zh-CN" w:bidi="ar-SA"/>
              </w:rPr>
            </w:pPr>
            <w:r>
              <w:rPr>
                <w:rFonts w:hint="eastAsia" w:ascii="仿宋" w:hAnsi="仿宋" w:eastAsia="仿宋" w:cs="仿宋"/>
                <w:sz w:val="28"/>
                <w:szCs w:val="28"/>
              </w:rPr>
              <w:t>纳税</w:t>
            </w:r>
            <w:r>
              <w:rPr>
                <w:rFonts w:hint="eastAsia" w:ascii="仿宋" w:hAnsi="仿宋" w:eastAsia="仿宋" w:cs="仿宋"/>
                <w:sz w:val="28"/>
                <w:szCs w:val="28"/>
                <w:lang w:val="en-US" w:eastAsia="zh-CN"/>
              </w:rPr>
              <w:t>总额</w:t>
            </w:r>
            <w:r>
              <w:rPr>
                <w:rFonts w:hint="eastAsia" w:ascii="仿宋" w:hAnsi="仿宋" w:eastAsia="仿宋" w:cs="仿宋"/>
                <w:sz w:val="28"/>
                <w:szCs w:val="28"/>
              </w:rPr>
              <w:t>（万元）</w:t>
            </w:r>
          </w:p>
        </w:tc>
        <w:tc>
          <w:tcPr>
            <w:tcW w:w="1763" w:type="dxa"/>
            <w:shd w:val="clear" w:color="auto" w:fill="FFFFFF"/>
            <w:vAlign w:val="center"/>
          </w:tcPr>
          <w:p w14:paraId="345BD34A">
            <w:pPr>
              <w:pageBreakBefore w:val="0"/>
              <w:kinsoku/>
              <w:overflowPunct/>
              <w:topLinePunct w:val="0"/>
              <w:bidi w:val="0"/>
              <w:jc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1739</w:t>
            </w:r>
          </w:p>
        </w:tc>
        <w:tc>
          <w:tcPr>
            <w:tcW w:w="1412" w:type="dxa"/>
            <w:shd w:val="clear" w:color="auto" w:fill="FFFFFF"/>
            <w:vAlign w:val="center"/>
          </w:tcPr>
          <w:p w14:paraId="4101E7D0">
            <w:pPr>
              <w:pageBreakBefore w:val="0"/>
              <w:kinsoku/>
              <w:overflowPunct/>
              <w:topLinePunct w:val="0"/>
              <w:bidi w:val="0"/>
              <w:jc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1673</w:t>
            </w:r>
          </w:p>
        </w:tc>
        <w:tc>
          <w:tcPr>
            <w:tcW w:w="1168" w:type="dxa"/>
            <w:vAlign w:val="center"/>
          </w:tcPr>
          <w:p w14:paraId="5FABE182">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1362</w:t>
            </w:r>
          </w:p>
        </w:tc>
      </w:tr>
      <w:tr w14:paraId="06F0B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6" w:type="dxa"/>
            <w:vMerge w:val="continue"/>
          </w:tcPr>
          <w:p w14:paraId="67A81384">
            <w:pPr>
              <w:pageBreakBefore w:val="0"/>
              <w:kinsoku/>
              <w:overflowPunct/>
              <w:topLinePunct w:val="0"/>
              <w:bidi w:val="0"/>
              <w:snapToGrid w:val="0"/>
              <w:jc w:val="center"/>
              <w:rPr>
                <w:rFonts w:hint="eastAsia" w:ascii="仿宋" w:hAnsi="仿宋" w:eastAsia="仿宋" w:cs="仿宋"/>
                <w:sz w:val="28"/>
                <w:szCs w:val="28"/>
              </w:rPr>
            </w:pPr>
          </w:p>
        </w:tc>
        <w:tc>
          <w:tcPr>
            <w:tcW w:w="2625" w:type="dxa"/>
            <w:shd w:val="clear" w:color="auto" w:fill="FFFFFF"/>
            <w:vAlign w:val="center"/>
          </w:tcPr>
          <w:p w14:paraId="597027AB">
            <w:pPr>
              <w:pageBreakBefore w:val="0"/>
              <w:kinsoku/>
              <w:overflowPunct/>
              <w:topLinePunct w:val="0"/>
              <w:bidi w:val="0"/>
              <w:ind w:left="-19" w:leftChars="-9" w:right="-55" w:rightChars="-26"/>
              <w:rPr>
                <w:rFonts w:hint="eastAsia" w:ascii="仿宋" w:hAnsi="仿宋" w:eastAsia="仿宋" w:cs="仿宋"/>
                <w:kern w:val="2"/>
                <w:sz w:val="28"/>
                <w:szCs w:val="28"/>
                <w:lang w:val="en-US" w:eastAsia="zh-CN" w:bidi="ar-SA"/>
              </w:rPr>
            </w:pPr>
            <w:r>
              <w:rPr>
                <w:rFonts w:hint="eastAsia" w:ascii="仿宋" w:hAnsi="仿宋" w:eastAsia="仿宋" w:cs="仿宋"/>
                <w:sz w:val="28"/>
                <w:szCs w:val="28"/>
              </w:rPr>
              <w:t>纳税增长率（%）</w:t>
            </w:r>
          </w:p>
        </w:tc>
        <w:tc>
          <w:tcPr>
            <w:tcW w:w="1763" w:type="dxa"/>
            <w:shd w:val="clear" w:color="auto" w:fill="FFFFFF"/>
            <w:vAlign w:val="center"/>
          </w:tcPr>
          <w:p w14:paraId="283E7791">
            <w:pPr>
              <w:pageBreakBefore w:val="0"/>
              <w:kinsoku/>
              <w:overflowPunct/>
              <w:topLinePunct w:val="0"/>
              <w:bidi w:val="0"/>
              <w:jc w:val="center"/>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112</w:t>
            </w:r>
          </w:p>
        </w:tc>
        <w:tc>
          <w:tcPr>
            <w:tcW w:w="1412" w:type="dxa"/>
            <w:shd w:val="clear" w:color="auto" w:fill="FFFFFF"/>
            <w:vAlign w:val="center"/>
          </w:tcPr>
          <w:p w14:paraId="078B1078">
            <w:pPr>
              <w:pageBreakBefore w:val="0"/>
              <w:kinsoku/>
              <w:overflowPunct/>
              <w:topLinePunct w:val="0"/>
              <w:bidi w:val="0"/>
              <w:jc w:val="center"/>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-3.8</w:t>
            </w:r>
          </w:p>
        </w:tc>
        <w:tc>
          <w:tcPr>
            <w:tcW w:w="1168" w:type="dxa"/>
            <w:vAlign w:val="center"/>
          </w:tcPr>
          <w:p w14:paraId="7C83F043">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-19</w:t>
            </w:r>
          </w:p>
        </w:tc>
      </w:tr>
      <w:tr w14:paraId="55423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6" w:type="dxa"/>
            <w:vMerge w:val="restart"/>
            <w:shd w:val="clear" w:color="auto" w:fill="FFFFFF"/>
            <w:vAlign w:val="center"/>
          </w:tcPr>
          <w:p w14:paraId="61D50798">
            <w:pPr>
              <w:pageBreakBefore w:val="0"/>
              <w:kinsoku/>
              <w:overflowPunct/>
              <w:topLinePunct w:val="0"/>
              <w:bidi w:val="0"/>
              <w:jc w:val="center"/>
              <w:rPr>
                <w:rFonts w:hint="eastAsia" w:ascii="仿宋" w:hAnsi="仿宋" w:eastAsia="仿宋" w:cs="仿宋"/>
                <w:b/>
                <w:kern w:val="2"/>
                <w:sz w:val="28"/>
                <w:szCs w:val="28"/>
                <w:lang w:val="en-US" w:eastAsia="zh-CN" w:bidi="ar-SA"/>
              </w:rPr>
            </w:pPr>
            <w:r>
              <w:rPr>
                <w:rFonts w:hint="eastAsia" w:ascii="仿宋" w:hAnsi="仿宋" w:eastAsia="仿宋" w:cs="仿宋"/>
                <w:b/>
                <w:sz w:val="28"/>
                <w:szCs w:val="28"/>
              </w:rPr>
              <w:t>资产总额</w:t>
            </w:r>
          </w:p>
        </w:tc>
        <w:tc>
          <w:tcPr>
            <w:tcW w:w="2625" w:type="dxa"/>
            <w:shd w:val="clear" w:color="auto" w:fill="FFFFFF"/>
            <w:vAlign w:val="center"/>
          </w:tcPr>
          <w:p w14:paraId="5C6C8A6C">
            <w:pPr>
              <w:pageBreakBefore w:val="0"/>
              <w:kinsoku/>
              <w:overflowPunct/>
              <w:topLinePunct w:val="0"/>
              <w:bidi w:val="0"/>
              <w:ind w:left="-19" w:leftChars="-9" w:right="-55" w:rightChars="-26"/>
              <w:rPr>
                <w:rFonts w:hint="eastAsia" w:ascii="仿宋" w:hAnsi="仿宋" w:eastAsia="仿宋" w:cs="仿宋"/>
                <w:kern w:val="2"/>
                <w:sz w:val="28"/>
                <w:szCs w:val="28"/>
                <w:lang w:val="en-US" w:eastAsia="zh-CN" w:bidi="ar-SA"/>
              </w:rPr>
            </w:pPr>
            <w:r>
              <w:rPr>
                <w:rFonts w:hint="eastAsia" w:ascii="仿宋" w:hAnsi="仿宋" w:eastAsia="仿宋" w:cs="仿宋"/>
                <w:sz w:val="28"/>
                <w:szCs w:val="28"/>
              </w:rPr>
              <w:t>资产总额（亿元）</w:t>
            </w:r>
          </w:p>
        </w:tc>
        <w:tc>
          <w:tcPr>
            <w:tcW w:w="1763" w:type="dxa"/>
            <w:shd w:val="clear" w:color="auto" w:fill="FFFFFF"/>
            <w:vAlign w:val="center"/>
          </w:tcPr>
          <w:p w14:paraId="1A5AC7F2">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54607</w:t>
            </w:r>
          </w:p>
        </w:tc>
        <w:tc>
          <w:tcPr>
            <w:tcW w:w="1412" w:type="dxa"/>
            <w:shd w:val="clear" w:color="auto" w:fill="FFFFFF"/>
            <w:vAlign w:val="center"/>
          </w:tcPr>
          <w:p w14:paraId="4EC5856D">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63521</w:t>
            </w:r>
          </w:p>
        </w:tc>
        <w:tc>
          <w:tcPr>
            <w:tcW w:w="1168" w:type="dxa"/>
            <w:vAlign w:val="center"/>
          </w:tcPr>
          <w:p w14:paraId="2AA0BBC6">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74752</w:t>
            </w:r>
          </w:p>
        </w:tc>
      </w:tr>
      <w:tr w14:paraId="7EE1E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206" w:type="dxa"/>
            <w:vMerge w:val="continue"/>
          </w:tcPr>
          <w:p w14:paraId="2B2FA444">
            <w:pPr>
              <w:pageBreakBefore w:val="0"/>
              <w:kinsoku/>
              <w:overflowPunct/>
              <w:topLinePunct w:val="0"/>
              <w:bidi w:val="0"/>
              <w:snapToGrid w:val="0"/>
              <w:jc w:val="center"/>
              <w:rPr>
                <w:rFonts w:hint="eastAsia" w:ascii="仿宋" w:hAnsi="仿宋" w:eastAsia="仿宋" w:cs="仿宋"/>
                <w:sz w:val="28"/>
                <w:szCs w:val="28"/>
              </w:rPr>
            </w:pPr>
          </w:p>
        </w:tc>
        <w:tc>
          <w:tcPr>
            <w:tcW w:w="2625" w:type="dxa"/>
            <w:shd w:val="clear" w:color="auto" w:fill="FFFFFF"/>
            <w:vAlign w:val="center"/>
          </w:tcPr>
          <w:p w14:paraId="31201C8C">
            <w:pPr>
              <w:pageBreakBefore w:val="0"/>
              <w:kinsoku/>
              <w:overflowPunct/>
              <w:topLinePunct w:val="0"/>
              <w:bidi w:val="0"/>
              <w:ind w:left="-19" w:leftChars="-9" w:right="-55" w:rightChars="-26"/>
              <w:rPr>
                <w:rFonts w:hint="eastAsia" w:ascii="仿宋" w:hAnsi="仿宋" w:eastAsia="仿宋" w:cs="仿宋"/>
                <w:kern w:val="2"/>
                <w:sz w:val="28"/>
                <w:szCs w:val="28"/>
                <w:lang w:val="en-US" w:eastAsia="zh-CN" w:bidi="ar-SA"/>
              </w:rPr>
            </w:pPr>
            <w:r>
              <w:rPr>
                <w:rFonts w:hint="eastAsia" w:ascii="仿宋" w:hAnsi="仿宋" w:eastAsia="仿宋" w:cs="仿宋"/>
                <w:sz w:val="28"/>
                <w:szCs w:val="28"/>
              </w:rPr>
              <w:t>资产负债率（%）</w:t>
            </w:r>
          </w:p>
        </w:tc>
        <w:tc>
          <w:tcPr>
            <w:tcW w:w="1763" w:type="dxa"/>
            <w:shd w:val="clear" w:color="auto" w:fill="FFFFFF"/>
            <w:vAlign w:val="center"/>
          </w:tcPr>
          <w:p w14:paraId="5D2B2501">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69.68</w:t>
            </w:r>
          </w:p>
        </w:tc>
        <w:tc>
          <w:tcPr>
            <w:tcW w:w="1412" w:type="dxa"/>
            <w:shd w:val="clear" w:color="auto" w:fill="FFFFFF"/>
            <w:vAlign w:val="center"/>
          </w:tcPr>
          <w:p w14:paraId="3678D570">
            <w:pPr>
              <w:pageBreakBefore w:val="0"/>
              <w:kinsoku/>
              <w:overflowPunct/>
              <w:topLinePunct w:val="0"/>
              <w:bidi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67.35</w:t>
            </w:r>
          </w:p>
        </w:tc>
        <w:tc>
          <w:tcPr>
            <w:tcW w:w="1168" w:type="dxa"/>
            <w:vAlign w:val="center"/>
          </w:tcPr>
          <w:p w14:paraId="2BBC2904">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68</w:t>
            </w:r>
          </w:p>
        </w:tc>
      </w:tr>
    </w:tbl>
    <w:p w14:paraId="6CFABBE8">
      <w:pPr>
        <w:pStyle w:val="2"/>
        <w:keepNext w:val="0"/>
        <w:keepLines w:val="0"/>
        <w:pageBreakBefore w:val="0"/>
        <w:numPr>
          <w:ilvl w:val="0"/>
          <w:numId w:val="3"/>
        </w:numPr>
        <w:kinsoku/>
        <w:overflowPunct/>
        <w:topLinePunct w:val="0"/>
        <w:autoSpaceDE/>
        <w:autoSpaceDN/>
        <w:bidi w:val="0"/>
        <w:adjustRightInd/>
        <w:spacing w:after="0" w:line="600" w:lineRule="exact"/>
        <w:ind w:left="0" w:leftChars="0" w:firstLine="0" w:firstLine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公司对社会责任的认识</w:t>
      </w:r>
    </w:p>
    <w:p w14:paraId="60158394">
      <w:pPr>
        <w:pStyle w:val="2"/>
        <w:keepNext w:val="0"/>
        <w:keepLines w:val="0"/>
        <w:pageBreakBefore w:val="0"/>
        <w:numPr>
          <w:ilvl w:val="0"/>
          <w:numId w:val="0"/>
        </w:numPr>
        <w:kinsoku/>
        <w:overflowPunct/>
        <w:topLinePunct w:val="0"/>
        <w:autoSpaceDE/>
        <w:autoSpaceDN/>
        <w:bidi w:val="0"/>
        <w:adjustRightInd/>
        <w:spacing w:after="0" w:line="600" w:lineRule="exact"/>
        <w:ind w:leftChars="0" w:firstLine="56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的社会责任理念是公司管理理念体系的一部分，其价值观也体现在服务理念、品牌理念、环保理念、关爱员工、社会责任之中。公司始终认为企业在长期经营、对股东利益负责并实现利润最大化的同时，还要承担起利益相关者以及整个社会的责任，以实现企业与经济社会可持续发展的协调关系。认真地履行社会责任，有利于提升企业形象，从而提高企业美誉度和知名度；也是落实以人为本、构建和谐企业、和谐社会的具体行动体现；更是现代企业和企业家</w:t>
      </w:r>
      <w:r>
        <w:rPr>
          <w:rFonts w:hint="eastAsia" w:ascii="仿宋" w:hAnsi="仿宋" w:eastAsia="仿宋" w:cs="仿宋"/>
          <w:b w:val="0"/>
          <w:bCs w:val="0"/>
          <w:kern w:val="0"/>
          <w:sz w:val="28"/>
          <w:szCs w:val="28"/>
          <w:lang w:val="en-US" w:eastAsia="zh-CN" w:bidi="ar"/>
        </w:rPr>
        <w:t>应有的使命和责任</w:t>
      </w:r>
      <w:r>
        <w:rPr>
          <w:rFonts w:hint="eastAsia" w:ascii="仿宋" w:hAnsi="仿宋" w:eastAsia="仿宋" w:cs="仿宋"/>
          <w:sz w:val="28"/>
          <w:szCs w:val="28"/>
          <w:lang w:val="en-US" w:eastAsia="zh-CN"/>
        </w:rPr>
        <w:t>。</w:t>
      </w:r>
    </w:p>
    <w:p w14:paraId="0C163DB6">
      <w:pPr>
        <w:pStyle w:val="14"/>
        <w:keepNext w:val="0"/>
        <w:keepLines w:val="0"/>
        <w:pageBreakBefore w:val="0"/>
        <w:widowControl/>
        <w:kinsoku/>
        <w:overflowPunct/>
        <w:topLinePunct w:val="0"/>
        <w:autoSpaceDE/>
        <w:autoSpaceDN/>
        <w:bidi w:val="0"/>
        <w:adjustRightInd/>
        <w:spacing w:before="0" w:beforeAutospacing="0" w:after="0" w:afterAutospacing="0" w:line="600" w:lineRule="exact"/>
        <w:ind w:firstLine="560" w:firstLineChars="200"/>
        <w:textAlignment w:val="auto"/>
        <w:rPr>
          <w:rFonts w:hint="eastAsia" w:ascii="仿宋" w:hAnsi="仿宋" w:eastAsia="仿宋" w:cs="仿宋"/>
          <w:b w:val="0"/>
          <w:bCs w:val="0"/>
          <w:kern w:val="0"/>
          <w:sz w:val="28"/>
          <w:szCs w:val="28"/>
          <w:lang w:val="en-US" w:eastAsia="zh-CN" w:bidi="ar"/>
        </w:rPr>
      </w:pPr>
      <w:r>
        <w:rPr>
          <w:rFonts w:hint="eastAsia" w:ascii="仿宋" w:hAnsi="仿宋" w:eastAsia="仿宋" w:cs="仿宋"/>
          <w:sz w:val="28"/>
          <w:szCs w:val="28"/>
          <w:lang w:val="en-US" w:eastAsia="zh-CN"/>
        </w:rPr>
        <w:t>公司遵循“客户为体、创新为用、固守正道、合作共赢”的核心价值观，以“</w:t>
      </w:r>
      <w:r>
        <w:rPr>
          <w:rFonts w:hint="eastAsia" w:ascii="仿宋" w:hAnsi="仿宋" w:eastAsia="仿宋" w:cs="仿宋"/>
          <w:b w:val="0"/>
          <w:bCs w:val="0"/>
          <w:i w:val="0"/>
          <w:iCs w:val="0"/>
          <w:caps w:val="0"/>
          <w:color w:val="000000"/>
          <w:spacing w:val="0"/>
          <w:sz w:val="28"/>
          <w:szCs w:val="28"/>
          <w:shd w:val="clear" w:fill="FFFFFF"/>
          <w:vertAlign w:val="baseline"/>
          <w:lang w:val="en-US" w:eastAsia="zh-CN"/>
        </w:rPr>
        <w:t xml:space="preserve"> 努力成为国际一流的锻压设备供应商”为战略远景，以“</w:t>
      </w:r>
      <w:r>
        <w:rPr>
          <w:rFonts w:hint="eastAsia" w:ascii="仿宋" w:hAnsi="仿宋" w:eastAsia="仿宋" w:cs="仿宋"/>
          <w:b w:val="0"/>
          <w:bCs w:val="0"/>
          <w:sz w:val="28"/>
          <w:szCs w:val="28"/>
        </w:rPr>
        <w:t>开创独特</w:t>
      </w:r>
      <w:r>
        <w:rPr>
          <w:rFonts w:hint="eastAsia" w:ascii="仿宋" w:hAnsi="仿宋" w:eastAsia="仿宋" w:cs="仿宋"/>
          <w:b w:val="0"/>
          <w:bCs w:val="0"/>
          <w:sz w:val="28"/>
          <w:szCs w:val="28"/>
          <w:lang w:val="en-US" w:eastAsia="zh-CN"/>
        </w:rPr>
        <w:t>锻压设备</w:t>
      </w:r>
      <w:r>
        <w:rPr>
          <w:rFonts w:hint="eastAsia" w:ascii="仿宋" w:hAnsi="仿宋" w:eastAsia="仿宋" w:cs="仿宋"/>
          <w:b w:val="0"/>
          <w:bCs w:val="0"/>
          <w:sz w:val="28"/>
          <w:szCs w:val="28"/>
        </w:rPr>
        <w:t>，满足全球客</w:t>
      </w:r>
      <w:r>
        <w:rPr>
          <w:rFonts w:hint="eastAsia" w:ascii="仿宋" w:hAnsi="仿宋" w:eastAsia="仿宋" w:cs="仿宋"/>
          <w:b w:val="0"/>
          <w:bCs w:val="0"/>
          <w:sz w:val="28"/>
          <w:szCs w:val="28"/>
          <w:lang w:val="en-US" w:eastAsia="zh-CN"/>
        </w:rPr>
        <w:t>户</w:t>
      </w:r>
      <w:r>
        <w:rPr>
          <w:rFonts w:hint="eastAsia" w:ascii="仿宋" w:hAnsi="仿宋" w:eastAsia="仿宋" w:cs="仿宋"/>
          <w:b w:val="0"/>
          <w:bCs w:val="0"/>
          <w:sz w:val="28"/>
          <w:szCs w:val="28"/>
        </w:rPr>
        <w:t>需要</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为使命，</w:t>
      </w:r>
      <w:r>
        <w:rPr>
          <w:rFonts w:hint="eastAsia" w:ascii="仿宋" w:hAnsi="仿宋" w:eastAsia="仿宋" w:cs="仿宋"/>
          <w:b w:val="0"/>
          <w:bCs w:val="0"/>
          <w:kern w:val="0"/>
          <w:sz w:val="28"/>
          <w:szCs w:val="28"/>
          <w:lang w:val="en-US" w:eastAsia="zh-CN" w:bidi="ar"/>
        </w:rPr>
        <w:t>深耕主业，创新绿色发展。</w:t>
      </w:r>
      <w:r>
        <w:rPr>
          <w:rFonts w:hint="eastAsia" w:ascii="仿宋" w:hAnsi="仿宋" w:eastAsia="仿宋" w:cs="仿宋"/>
          <w:b w:val="0"/>
          <w:bCs w:val="0"/>
          <w:sz w:val="28"/>
          <w:szCs w:val="28"/>
          <w:lang w:val="en-US" w:eastAsia="zh-CN"/>
        </w:rPr>
        <w:t>并以</w:t>
      </w:r>
      <w:r>
        <w:rPr>
          <w:rFonts w:hint="eastAsia" w:ascii="仿宋" w:hAnsi="仿宋" w:eastAsia="仿宋" w:cs="仿宋"/>
          <w:b w:val="0"/>
          <w:bCs w:val="0"/>
          <w:kern w:val="0"/>
          <w:sz w:val="28"/>
          <w:szCs w:val="28"/>
          <w:lang w:val="en-US" w:eastAsia="zh-CN" w:bidi="ar"/>
        </w:rPr>
        <w:t>“明礼诚信、创新发展、保护环境、资源节约、慈善事业、员工健康”为抓手，努力构建完善的社会责任履行体系。</w:t>
      </w:r>
    </w:p>
    <w:p w14:paraId="4662ECDA">
      <w:pPr>
        <w:keepNext w:val="0"/>
        <w:keepLines w:val="0"/>
        <w:pageBreakBefore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公司按照全生命周期的理念，在产品设计开发阶段系统考虑原材料获取、生产制造、包装运输、使用维护和回收处理等各个环节对环境资源造成的影响，力求产品在全生命周期中最大限度降低资源消耗、尽可能少用或不用含有有害物质的原材料，减少污染物产生和排放，从而实现环境保护的活动。公司建立了质量管理体系、环境管理体系、职业健康安全管理体系、测量管理体系等，确保质量安全，评估并确定产品、服务和运营给社会带来的环境保护、能源消耗、资源综合利用、产品安全、公共卫生等方面的影响，并针对相关风险，在生产服务运营中严格运行相关体系，确立满足和超越法律法规要求的关键过程、测量方法和指标，制定相应的对策和改进措施。</w:t>
      </w:r>
      <w:r>
        <w:rPr>
          <w:rFonts w:hint="eastAsia" w:ascii="仿宋" w:hAnsi="仿宋" w:eastAsia="仿宋" w:cs="仿宋"/>
          <w:sz w:val="28"/>
          <w:szCs w:val="28"/>
          <w:lang w:val="en-US" w:eastAsia="zh-CN"/>
        </w:rPr>
        <w:t>公司持续</w:t>
      </w:r>
      <w:r>
        <w:rPr>
          <w:rFonts w:hint="eastAsia" w:ascii="仿宋" w:hAnsi="仿宋" w:eastAsia="仿宋" w:cs="仿宋"/>
          <w:sz w:val="28"/>
          <w:szCs w:val="28"/>
        </w:rPr>
        <w:t>推进绿色工厂示范企业建设，使企业绿色发展水平、能源利用效率不断提高，单位产品综合能耗、单位产品废水量、单位产品废弃物产生量逐年下降。</w:t>
      </w:r>
    </w:p>
    <w:p w14:paraId="76BB50FD">
      <w:pPr>
        <w:pStyle w:val="2"/>
        <w:keepNext w:val="0"/>
        <w:keepLines w:val="0"/>
        <w:pageBreakBefore w:val="0"/>
        <w:numPr>
          <w:ilvl w:val="0"/>
          <w:numId w:val="3"/>
        </w:numPr>
        <w:kinsoku/>
        <w:overflowPunct/>
        <w:topLinePunct w:val="0"/>
        <w:autoSpaceDE/>
        <w:autoSpaceDN/>
        <w:bidi w:val="0"/>
        <w:adjustRightInd/>
        <w:spacing w:after="0" w:line="600" w:lineRule="exact"/>
        <w:ind w:left="0" w:leftChars="0" w:firstLine="0" w:firstLine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在促进经济可持续发展方面履行的社会责任</w:t>
      </w:r>
    </w:p>
    <w:p w14:paraId="08A334F8">
      <w:pPr>
        <w:pStyle w:val="2"/>
        <w:keepNext w:val="0"/>
        <w:keepLines w:val="0"/>
        <w:pageBreakBefore w:val="0"/>
        <w:numPr>
          <w:ilvl w:val="0"/>
          <w:numId w:val="5"/>
        </w:numPr>
        <w:kinsoku/>
        <w:overflowPunct/>
        <w:topLinePunct w:val="0"/>
        <w:autoSpaceDE/>
        <w:autoSpaceDN/>
        <w:bidi w:val="0"/>
        <w:adjustRightInd/>
        <w:spacing w:after="0" w:line="600" w:lineRule="exact"/>
        <w:ind w:leftChars="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完善公司治理，合法合规经营</w:t>
      </w:r>
    </w:p>
    <w:p w14:paraId="123666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pacing w:beforeAutospacing="0" w:afterAutospacing="0" w:line="600" w:lineRule="exact"/>
        <w:ind w:right="0" w:firstLine="560" w:firstLineChars="200"/>
        <w:jc w:val="left"/>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sz w:val="28"/>
          <w:szCs w:val="28"/>
          <w:lang w:val="en-US" w:eastAsia="zh-CN"/>
        </w:rPr>
        <w:t>自公司成立以来，不断完善治理结构，健全内部管理体系，对管理层贯彻执行法律、行政法规、履行诚信等方面都有明确的规章制度。</w:t>
      </w:r>
      <w:r>
        <w:rPr>
          <w:rFonts w:hint="eastAsia" w:ascii="仿宋" w:hAnsi="仿宋" w:eastAsia="仿宋" w:cs="仿宋"/>
          <w:i w:val="0"/>
          <w:iCs w:val="0"/>
          <w:caps w:val="0"/>
          <w:color w:val="333333"/>
          <w:spacing w:val="0"/>
          <w:sz w:val="28"/>
          <w:szCs w:val="28"/>
          <w:shd w:val="clear" w:fill="FFFFFF"/>
        </w:rPr>
        <w:t>公司坚持质量诚信理念，并通过诚信教育、诚信自律、企业文化推进质量文化建设，构建具有本企业特色的企业使命、愿景、核心价值观，以“易锻箴言”为企业文化纲领，以全员参与，优质高效，持续改进，客户满意为质量方针，以5年质保期、24小时售后响应、线上线下售后服务为质量承诺，并体现在决策、计划执行中，体现在日常管理、研发设计中，体现在每一位员工的工作行为中。企业负责人积极营造遵纪守法氛围，坚持诚实守信和契约精神，树立良好企业形象，公司是AA</w:t>
      </w:r>
      <w:r>
        <w:rPr>
          <w:rFonts w:hint="eastAsia" w:ascii="仿宋" w:hAnsi="仿宋" w:eastAsia="仿宋" w:cs="仿宋"/>
          <w:i w:val="0"/>
          <w:iCs w:val="0"/>
          <w:caps w:val="0"/>
          <w:color w:val="333333"/>
          <w:spacing w:val="0"/>
          <w:sz w:val="28"/>
          <w:szCs w:val="28"/>
          <w:shd w:val="clear" w:fill="FFFFFF"/>
          <w:lang w:val="en-US" w:eastAsia="zh-CN"/>
        </w:rPr>
        <w:t>A</w:t>
      </w:r>
      <w:r>
        <w:rPr>
          <w:rFonts w:hint="eastAsia" w:ascii="仿宋" w:hAnsi="仿宋" w:eastAsia="仿宋" w:cs="仿宋"/>
          <w:i w:val="0"/>
          <w:iCs w:val="0"/>
          <w:caps w:val="0"/>
          <w:color w:val="333333"/>
          <w:spacing w:val="0"/>
          <w:sz w:val="28"/>
          <w:szCs w:val="28"/>
          <w:shd w:val="clear" w:fill="FFFFFF"/>
        </w:rPr>
        <w:t>级守合同重信用单位，</w:t>
      </w:r>
      <w:r>
        <w:rPr>
          <w:rFonts w:hint="eastAsia" w:ascii="仿宋" w:hAnsi="仿宋" w:eastAsia="仿宋" w:cs="仿宋"/>
          <w:i w:val="0"/>
          <w:iCs w:val="0"/>
          <w:caps w:val="0"/>
          <w:color w:val="333333"/>
          <w:spacing w:val="0"/>
          <w:sz w:val="28"/>
          <w:szCs w:val="28"/>
          <w:shd w:val="clear" w:fill="FFFFFF"/>
          <w:lang w:val="en-US" w:eastAsia="zh-CN"/>
        </w:rPr>
        <w:t>浙江省</w:t>
      </w:r>
      <w:r>
        <w:rPr>
          <w:rFonts w:hint="eastAsia" w:ascii="仿宋" w:hAnsi="仿宋" w:eastAsia="仿宋" w:cs="仿宋"/>
          <w:i w:val="0"/>
          <w:iCs w:val="0"/>
          <w:caps w:val="0"/>
          <w:color w:val="333333"/>
          <w:spacing w:val="0"/>
          <w:sz w:val="28"/>
          <w:szCs w:val="28"/>
          <w:shd w:val="clear" w:fill="FFFFFF"/>
        </w:rPr>
        <w:t>信用示范单位。公司通过质量策划、组织管理、技术创新、质量控制、质量保证、质量改正等举措加强质量基础建设，设立质量保证组织，配备专业质量管理人员。实施并通过质量管理体系，每年制定质量目标并予以分解，建立来料、过程和入库的检验管理制度，质量全过程控制流程规范，检验记录具体清晰。制定质量追溯管理制度，定期召开质量会议，编制质量分析报告，创建 QC 小组，定期开展质量提升合理化建议活动，实施质量改进。采用适宜方法针对客户投诉进行纠正和预防。指导供应商进行质量管理，定期进行监督稽查和帮扶，实现共赢。综合利用目视化、三定管理、红牌作战、颜色管理、看板管理等各种现场管理工具，提高现场质量管理水平。</w:t>
      </w:r>
    </w:p>
    <w:p w14:paraId="10EAF92A">
      <w:pPr>
        <w:pStyle w:val="20"/>
        <w:keepNext w:val="0"/>
        <w:keepLines w:val="0"/>
        <w:pageBreakBefore w:val="0"/>
        <w:numPr>
          <w:ilvl w:val="0"/>
          <w:numId w:val="6"/>
        </w:numPr>
        <w:kinsoku/>
        <w:overflowPunct/>
        <w:topLinePunct w:val="0"/>
        <w:autoSpaceDE/>
        <w:autoSpaceDN/>
        <w:bidi w:val="0"/>
        <w:adjustRightInd/>
        <w:snapToGrid w:val="0"/>
        <w:spacing w:line="600" w:lineRule="exact"/>
        <w:ind w:firstLineChars="0"/>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组织治理结果</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1"/>
        <w:gridCol w:w="1861"/>
        <w:gridCol w:w="1861"/>
        <w:gridCol w:w="1861"/>
      </w:tblGrid>
      <w:tr w14:paraId="28BD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jc w:val="center"/>
        </w:trPr>
        <w:tc>
          <w:tcPr>
            <w:tcW w:w="3769" w:type="dxa"/>
            <w:shd w:val="clear" w:color="auto" w:fill="0070C0"/>
            <w:vAlign w:val="center"/>
          </w:tcPr>
          <w:p w14:paraId="33A1784F">
            <w:pPr>
              <w:keepNext w:val="0"/>
              <w:keepLines w:val="0"/>
              <w:pageBreakBefore w:val="0"/>
              <w:kinsoku/>
              <w:overflowPunct/>
              <w:topLinePunct w:val="0"/>
              <w:autoSpaceDE/>
              <w:autoSpaceDN/>
              <w:bidi w:val="0"/>
              <w:adjustRightInd/>
              <w:snapToGrid w:val="0"/>
              <w:spacing w:line="600" w:lineRule="exact"/>
              <w:jc w:val="center"/>
              <w:textAlignment w:val="auto"/>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关键绩效指标</w:t>
            </w:r>
          </w:p>
        </w:tc>
        <w:tc>
          <w:tcPr>
            <w:tcW w:w="1953" w:type="dxa"/>
            <w:shd w:val="clear" w:color="auto" w:fill="0070C0"/>
            <w:vAlign w:val="center"/>
          </w:tcPr>
          <w:p w14:paraId="2593BFAF">
            <w:pPr>
              <w:keepNext w:val="0"/>
              <w:keepLines w:val="0"/>
              <w:pageBreakBefore w:val="0"/>
              <w:kinsoku/>
              <w:overflowPunct/>
              <w:topLinePunct w:val="0"/>
              <w:autoSpaceDE/>
              <w:autoSpaceDN/>
              <w:bidi w:val="0"/>
              <w:adjustRightInd/>
              <w:snapToGrid w:val="0"/>
              <w:spacing w:line="600" w:lineRule="exact"/>
              <w:jc w:val="center"/>
              <w:textAlignment w:val="auto"/>
              <w:rPr>
                <w:rFonts w:hint="eastAsia" w:ascii="仿宋" w:hAnsi="仿宋" w:eastAsia="仿宋" w:cs="仿宋"/>
                <w:b/>
                <w:bCs/>
                <w:color w:val="FFFFFF" w:themeColor="background1"/>
                <w:kern w:val="2"/>
                <w:sz w:val="28"/>
                <w:szCs w:val="28"/>
                <w:lang w:val="en-US" w:eastAsia="zh-CN" w:bidi="ar-SA"/>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2022年</w:t>
            </w:r>
          </w:p>
        </w:tc>
        <w:tc>
          <w:tcPr>
            <w:tcW w:w="1953" w:type="dxa"/>
            <w:shd w:val="clear" w:color="auto" w:fill="0070C0"/>
            <w:vAlign w:val="center"/>
          </w:tcPr>
          <w:p w14:paraId="48B40ADE">
            <w:pPr>
              <w:keepNext w:val="0"/>
              <w:keepLines w:val="0"/>
              <w:pageBreakBefore w:val="0"/>
              <w:kinsoku/>
              <w:overflowPunct/>
              <w:topLinePunct w:val="0"/>
              <w:autoSpaceDE/>
              <w:autoSpaceDN/>
              <w:bidi w:val="0"/>
              <w:adjustRightInd/>
              <w:snapToGrid w:val="0"/>
              <w:spacing w:line="600" w:lineRule="exact"/>
              <w:jc w:val="center"/>
              <w:textAlignment w:val="auto"/>
              <w:rPr>
                <w:rFonts w:hint="eastAsia" w:ascii="仿宋" w:hAnsi="仿宋" w:eastAsia="仿宋" w:cs="仿宋"/>
                <w:b/>
                <w:bCs/>
                <w:color w:val="FFFFFF" w:themeColor="background1"/>
                <w:kern w:val="2"/>
                <w:sz w:val="28"/>
                <w:szCs w:val="28"/>
                <w:lang w:val="en-US" w:eastAsia="zh-CN" w:bidi="ar-SA"/>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2023年</w:t>
            </w:r>
          </w:p>
        </w:tc>
        <w:tc>
          <w:tcPr>
            <w:tcW w:w="1953" w:type="dxa"/>
            <w:shd w:val="clear" w:color="auto" w:fill="0070C0"/>
            <w:vAlign w:val="center"/>
          </w:tcPr>
          <w:p w14:paraId="14178941">
            <w:pPr>
              <w:keepNext w:val="0"/>
              <w:keepLines w:val="0"/>
              <w:pageBreakBefore w:val="0"/>
              <w:kinsoku/>
              <w:overflowPunct/>
              <w:topLinePunct w:val="0"/>
              <w:autoSpaceDE/>
              <w:autoSpaceDN/>
              <w:bidi w:val="0"/>
              <w:adjustRightInd/>
              <w:snapToGrid w:val="0"/>
              <w:spacing w:line="600" w:lineRule="exact"/>
              <w:jc w:val="center"/>
              <w:textAlignment w:val="auto"/>
              <w:rPr>
                <w:rFonts w:hint="default" w:ascii="仿宋" w:hAnsi="仿宋" w:eastAsia="仿宋" w:cs="仿宋"/>
                <w:b/>
                <w:bCs/>
                <w:color w:val="FFFFFF" w:themeColor="background1"/>
                <w:sz w:val="28"/>
                <w:szCs w:val="28"/>
                <w:lang w:val="en-US" w:eastAsia="zh-CN"/>
                <w14:textFill>
                  <w14:solidFill>
                    <w14:schemeClr w14:val="bg1"/>
                  </w14:solidFill>
                </w14:textFill>
              </w:rPr>
            </w:pPr>
            <w:r>
              <w:rPr>
                <w:rFonts w:hint="eastAsia" w:ascii="仿宋" w:hAnsi="仿宋" w:eastAsia="仿宋" w:cs="仿宋"/>
                <w:b/>
                <w:bCs/>
                <w:color w:val="FFFFFF" w:themeColor="background1"/>
                <w:sz w:val="28"/>
                <w:szCs w:val="28"/>
                <w:lang w:val="en-US" w:eastAsia="zh-CN"/>
                <w14:textFill>
                  <w14:solidFill>
                    <w14:schemeClr w14:val="bg1"/>
                  </w14:solidFill>
                </w14:textFill>
              </w:rPr>
              <w:t>2024年</w:t>
            </w:r>
          </w:p>
        </w:tc>
      </w:tr>
      <w:tr w14:paraId="6709C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69" w:type="dxa"/>
          </w:tcPr>
          <w:p w14:paraId="557833AF">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所有者权益（万元）</w:t>
            </w:r>
          </w:p>
        </w:tc>
        <w:tc>
          <w:tcPr>
            <w:tcW w:w="1953" w:type="dxa"/>
            <w:shd w:val="clear" w:color="auto" w:fill="auto"/>
            <w:vAlign w:val="center"/>
          </w:tcPr>
          <w:p w14:paraId="37B9D18C">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16390</w:t>
            </w:r>
          </w:p>
        </w:tc>
        <w:tc>
          <w:tcPr>
            <w:tcW w:w="1953" w:type="dxa"/>
            <w:shd w:val="clear" w:color="auto" w:fill="auto"/>
            <w:vAlign w:val="center"/>
          </w:tcPr>
          <w:p w14:paraId="635C7EB3">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2074</w:t>
            </w:r>
            <w:r>
              <w:rPr>
                <w:rFonts w:hint="eastAsia" w:ascii="仿宋" w:hAnsi="仿宋" w:eastAsia="仿宋" w:cs="仿宋"/>
                <w:sz w:val="28"/>
                <w:szCs w:val="28"/>
                <w:lang w:val="en-US" w:eastAsia="zh-CN"/>
              </w:rPr>
              <w:t>2</w:t>
            </w:r>
          </w:p>
        </w:tc>
        <w:tc>
          <w:tcPr>
            <w:tcW w:w="1953" w:type="dxa"/>
            <w:vAlign w:val="center"/>
          </w:tcPr>
          <w:p w14:paraId="1240B0DB">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23879</w:t>
            </w:r>
          </w:p>
        </w:tc>
      </w:tr>
      <w:tr w14:paraId="0A18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69" w:type="dxa"/>
          </w:tcPr>
          <w:p w14:paraId="153F56BD">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资本保值增值率（%）</w:t>
            </w:r>
          </w:p>
        </w:tc>
        <w:tc>
          <w:tcPr>
            <w:tcW w:w="1953" w:type="dxa"/>
            <w:shd w:val="clear" w:color="auto" w:fill="auto"/>
            <w:vAlign w:val="center"/>
          </w:tcPr>
          <w:p w14:paraId="6BC64E65">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234.61</w:t>
            </w:r>
          </w:p>
        </w:tc>
        <w:tc>
          <w:tcPr>
            <w:tcW w:w="1953" w:type="dxa"/>
            <w:shd w:val="clear" w:color="auto" w:fill="auto"/>
            <w:vAlign w:val="center"/>
          </w:tcPr>
          <w:p w14:paraId="0707F078">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118.83</w:t>
            </w:r>
          </w:p>
        </w:tc>
        <w:tc>
          <w:tcPr>
            <w:tcW w:w="1953" w:type="dxa"/>
            <w:vAlign w:val="center"/>
          </w:tcPr>
          <w:p w14:paraId="5331DF3E">
            <w:pPr>
              <w:pageBreakBefore w:val="0"/>
              <w:kinsoku/>
              <w:overflowPunct/>
              <w:topLinePunct w:val="0"/>
              <w:bidi w:val="0"/>
              <w:snapToGrid w:val="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115</w:t>
            </w:r>
          </w:p>
        </w:tc>
      </w:tr>
      <w:tr w14:paraId="34CFF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69" w:type="dxa"/>
            <w:vAlign w:val="center"/>
          </w:tcPr>
          <w:p w14:paraId="33A77029">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纳税逾限率（%）</w:t>
            </w:r>
          </w:p>
        </w:tc>
        <w:tc>
          <w:tcPr>
            <w:tcW w:w="1953" w:type="dxa"/>
            <w:shd w:val="clear" w:color="auto" w:fill="auto"/>
            <w:vAlign w:val="center"/>
          </w:tcPr>
          <w:p w14:paraId="088C0737">
            <w:pPr>
              <w:pageBreakBefore w:val="0"/>
              <w:kinsoku/>
              <w:overflowPunct/>
              <w:topLinePunct w:val="0"/>
              <w:bidi w:val="0"/>
              <w:adjustRightInd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0</w:t>
            </w:r>
          </w:p>
        </w:tc>
        <w:tc>
          <w:tcPr>
            <w:tcW w:w="1953" w:type="dxa"/>
            <w:shd w:val="clear" w:color="auto" w:fill="auto"/>
            <w:vAlign w:val="center"/>
          </w:tcPr>
          <w:p w14:paraId="76F77DCE">
            <w:pPr>
              <w:pageBreakBefore w:val="0"/>
              <w:kinsoku/>
              <w:overflowPunct/>
              <w:topLinePunct w:val="0"/>
              <w:bidi w:val="0"/>
              <w:adjustRightInd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0</w:t>
            </w:r>
          </w:p>
        </w:tc>
        <w:tc>
          <w:tcPr>
            <w:tcW w:w="1953" w:type="dxa"/>
            <w:shd w:val="clear" w:color="auto" w:fill="auto"/>
            <w:vAlign w:val="center"/>
          </w:tcPr>
          <w:p w14:paraId="07B08F5B">
            <w:pPr>
              <w:pageBreakBefore w:val="0"/>
              <w:kinsoku/>
              <w:overflowPunct/>
              <w:topLinePunct w:val="0"/>
              <w:bidi w:val="0"/>
              <w:adjustRightInd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0</w:t>
            </w:r>
          </w:p>
        </w:tc>
      </w:tr>
      <w:tr w14:paraId="70487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69" w:type="dxa"/>
            <w:vAlign w:val="center"/>
          </w:tcPr>
          <w:p w14:paraId="79C3C334">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重大事项讨论率（%）</w:t>
            </w:r>
          </w:p>
        </w:tc>
        <w:tc>
          <w:tcPr>
            <w:tcW w:w="1953" w:type="dxa"/>
            <w:shd w:val="clear" w:color="auto" w:fill="auto"/>
            <w:vAlign w:val="center"/>
          </w:tcPr>
          <w:p w14:paraId="1E45B318">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100</w:t>
            </w:r>
          </w:p>
        </w:tc>
        <w:tc>
          <w:tcPr>
            <w:tcW w:w="1953" w:type="dxa"/>
            <w:shd w:val="clear" w:color="auto" w:fill="auto"/>
            <w:vAlign w:val="center"/>
          </w:tcPr>
          <w:p w14:paraId="3D719A8E">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100</w:t>
            </w:r>
          </w:p>
        </w:tc>
        <w:tc>
          <w:tcPr>
            <w:tcW w:w="1953" w:type="dxa"/>
            <w:shd w:val="clear" w:color="auto" w:fill="auto"/>
            <w:vAlign w:val="center"/>
          </w:tcPr>
          <w:p w14:paraId="24ACA9A7">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100</w:t>
            </w:r>
          </w:p>
        </w:tc>
      </w:tr>
      <w:tr w14:paraId="69A3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69" w:type="dxa"/>
            <w:vAlign w:val="center"/>
          </w:tcPr>
          <w:p w14:paraId="254E24A8">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董事会议程执行率（%）</w:t>
            </w:r>
          </w:p>
        </w:tc>
        <w:tc>
          <w:tcPr>
            <w:tcW w:w="1953" w:type="dxa"/>
            <w:shd w:val="clear" w:color="auto" w:fill="auto"/>
            <w:vAlign w:val="center"/>
          </w:tcPr>
          <w:p w14:paraId="3B7CBCA3">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100</w:t>
            </w:r>
          </w:p>
        </w:tc>
        <w:tc>
          <w:tcPr>
            <w:tcW w:w="1953" w:type="dxa"/>
            <w:shd w:val="clear" w:color="auto" w:fill="auto"/>
            <w:vAlign w:val="center"/>
          </w:tcPr>
          <w:p w14:paraId="2FD87E9A">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100</w:t>
            </w:r>
          </w:p>
        </w:tc>
        <w:tc>
          <w:tcPr>
            <w:tcW w:w="1953" w:type="dxa"/>
            <w:shd w:val="clear" w:color="auto" w:fill="auto"/>
            <w:vAlign w:val="center"/>
          </w:tcPr>
          <w:p w14:paraId="3D8FB727">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100</w:t>
            </w:r>
          </w:p>
        </w:tc>
      </w:tr>
      <w:tr w14:paraId="3C5B6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69" w:type="dxa"/>
          </w:tcPr>
          <w:p w14:paraId="15667221">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会计师事务所审计结果</w:t>
            </w:r>
          </w:p>
        </w:tc>
        <w:tc>
          <w:tcPr>
            <w:tcW w:w="1953" w:type="dxa"/>
            <w:shd w:val="clear" w:color="auto" w:fill="auto"/>
            <w:vAlign w:val="center"/>
          </w:tcPr>
          <w:p w14:paraId="4A05C82C">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无保留意见</w:t>
            </w:r>
          </w:p>
        </w:tc>
        <w:tc>
          <w:tcPr>
            <w:tcW w:w="1953" w:type="dxa"/>
            <w:shd w:val="clear" w:color="auto" w:fill="auto"/>
            <w:vAlign w:val="center"/>
          </w:tcPr>
          <w:p w14:paraId="1C2B9EF1">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无保留意见</w:t>
            </w:r>
          </w:p>
        </w:tc>
        <w:tc>
          <w:tcPr>
            <w:tcW w:w="1953" w:type="dxa"/>
            <w:shd w:val="clear" w:color="auto" w:fill="auto"/>
            <w:vAlign w:val="center"/>
          </w:tcPr>
          <w:p w14:paraId="41E34F49">
            <w:pPr>
              <w:pageBreakBefore w:val="0"/>
              <w:kinsoku/>
              <w:overflowPunct/>
              <w:topLinePunct w:val="0"/>
              <w:bidi w:val="0"/>
              <w:snapToGrid w:val="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无保留意见</w:t>
            </w:r>
          </w:p>
        </w:tc>
      </w:tr>
    </w:tbl>
    <w:p w14:paraId="35CB17F9">
      <w:pPr>
        <w:pStyle w:val="13"/>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spacing w:beforeAutospacing="0" w:afterAutospacing="0" w:line="600" w:lineRule="exact"/>
        <w:ind w:left="0" w:leftChars="0" w:right="0" w:firstLine="0" w:firstLineChars="0"/>
        <w:jc w:val="left"/>
        <w:textAlignment w:val="auto"/>
        <w:rPr>
          <w:rFonts w:hint="eastAsia" w:ascii="仿宋" w:hAnsi="仿宋" w:eastAsia="仿宋" w:cs="仿宋"/>
          <w:b/>
          <w:bCs/>
          <w:i w:val="0"/>
          <w:iCs w:val="0"/>
          <w:caps w:val="0"/>
          <w:color w:val="333333"/>
          <w:spacing w:val="0"/>
          <w:sz w:val="28"/>
          <w:szCs w:val="28"/>
          <w:shd w:val="clear" w:fill="FFFFFF"/>
          <w:lang w:val="en-US" w:eastAsia="zh-CN"/>
        </w:rPr>
      </w:pPr>
      <w:r>
        <w:rPr>
          <w:rFonts w:hint="eastAsia" w:ascii="仿宋" w:hAnsi="仿宋" w:eastAsia="仿宋" w:cs="仿宋"/>
          <w:b/>
          <w:bCs/>
          <w:i w:val="0"/>
          <w:iCs w:val="0"/>
          <w:caps w:val="0"/>
          <w:color w:val="333333"/>
          <w:spacing w:val="0"/>
          <w:sz w:val="28"/>
          <w:szCs w:val="28"/>
          <w:shd w:val="clear" w:fill="FFFFFF"/>
          <w:lang w:val="en-US" w:eastAsia="zh-CN"/>
        </w:rPr>
        <w:t>构建和谐的投资者及其相关方关系</w:t>
      </w:r>
    </w:p>
    <w:p w14:paraId="45CD5C00">
      <w:pPr>
        <w:pStyle w:val="1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spacing w:beforeAutospacing="0" w:afterAutospacing="0" w:line="600" w:lineRule="exact"/>
        <w:ind w:leftChars="0" w:right="0" w:rightChars="0" w:firstLine="560" w:firstLineChars="200"/>
        <w:jc w:val="left"/>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实现股东利益最大化是公司的战略目标之一，维护股东权益、加强投资者关系管理是公司工作的重要组成部分。公司坚持诚实尽职履行信息披露义务，保证股东的知情权。同时，加强与股东交流沟通，定期召开股东会议，确保构建和谐的投资者关系。</w:t>
      </w:r>
    </w:p>
    <w:p w14:paraId="014F4157">
      <w:pPr>
        <w:keepNext w:val="0"/>
        <w:keepLines w:val="0"/>
        <w:pageBreakBefore w:val="0"/>
        <w:numPr>
          <w:ilvl w:val="0"/>
          <w:numId w:val="0"/>
        </w:numPr>
        <w:kinsoku/>
        <w:overflowPunct/>
        <w:topLinePunct w:val="0"/>
        <w:autoSpaceDE/>
        <w:autoSpaceDN/>
        <w:bidi w:val="0"/>
        <w:adjustRightInd/>
        <w:snapToGrid/>
        <w:spacing w:line="600" w:lineRule="exact"/>
        <w:ind w:right="-313" w:rightChars="-149" w:firstLine="560" w:firstLineChars="200"/>
        <w:textAlignment w:val="auto"/>
        <w:rPr>
          <w:rFonts w:hint="eastAsia" w:ascii="仿宋" w:hAnsi="仿宋" w:eastAsia="仿宋" w:cs="仿宋"/>
          <w:b w:val="0"/>
          <w:bCs w:val="0"/>
          <w:color w:val="000000" w:themeColor="text1"/>
          <w:sz w:val="28"/>
          <w:szCs w:val="28"/>
          <w:lang w:eastAsia="zh-CN"/>
          <w14:textFill>
            <w14:solidFill>
              <w14:schemeClr w14:val="tx1"/>
            </w14:solidFill>
          </w14:textFill>
        </w:rPr>
      </w:pPr>
      <w:r>
        <w:rPr>
          <w:rFonts w:hint="eastAsia" w:ascii="仿宋" w:hAnsi="仿宋" w:eastAsia="仿宋" w:cs="仿宋"/>
          <w:sz w:val="28"/>
          <w:szCs w:val="28"/>
        </w:rPr>
        <w:t>公司充分识别了顾客、员工、社会和供应商合作伙伴等相关方，通过长期的合作，与供方和合作伙伴实现有效的交流与沟通</w:t>
      </w:r>
      <w:r>
        <w:rPr>
          <w:rFonts w:hint="eastAsia" w:ascii="仿宋" w:hAnsi="仿宋" w:eastAsia="仿宋" w:cs="仿宋"/>
          <w:sz w:val="28"/>
          <w:szCs w:val="28"/>
          <w:lang w:eastAsia="zh-CN"/>
        </w:rPr>
        <w:t>。</w:t>
      </w:r>
      <w:r>
        <w:rPr>
          <w:rFonts w:hint="eastAsia" w:ascii="仿宋" w:hAnsi="仿宋" w:eastAsia="仿宋" w:cs="仿宋"/>
          <w:b w:val="0"/>
          <w:bCs w:val="0"/>
          <w:color w:val="000000" w:themeColor="text1"/>
          <w:sz w:val="28"/>
          <w:szCs w:val="28"/>
          <w:lang w:val="en-US" w:eastAsia="zh-CN"/>
          <w14:textFill>
            <w14:solidFill>
              <w14:schemeClr w14:val="tx1"/>
            </w14:solidFill>
          </w14:textFill>
        </w:rPr>
        <w:t>建设由战略供应商、战略客户、科研院所、配套服务企业等组成的</w:t>
      </w:r>
      <w:r>
        <w:rPr>
          <w:rFonts w:hint="eastAsia" w:ascii="仿宋" w:hAnsi="仿宋" w:eastAsia="仿宋" w:cs="仿宋"/>
          <w:b w:val="0"/>
          <w:bCs w:val="0"/>
          <w:color w:val="000000" w:themeColor="text1"/>
          <w:w w:val="90"/>
          <w:sz w:val="28"/>
          <w:szCs w:val="28"/>
          <w:lang w:val="en-US" w:eastAsia="zh-CN"/>
          <w14:textFill>
            <w14:solidFill>
              <w14:schemeClr w14:val="tx1"/>
            </w14:solidFill>
          </w14:textFill>
        </w:rPr>
        <w:t>重点行业</w:t>
      </w:r>
      <w:r>
        <w:rPr>
          <w:rFonts w:hint="eastAsia" w:ascii="仿宋" w:hAnsi="仿宋" w:eastAsia="仿宋" w:cs="仿宋"/>
          <w:b w:val="0"/>
          <w:bCs w:val="0"/>
          <w:color w:val="000000" w:themeColor="text1"/>
          <w:w w:val="90"/>
          <w:sz w:val="28"/>
          <w:szCs w:val="28"/>
          <w14:textFill>
            <w14:solidFill>
              <w14:schemeClr w14:val="tx1"/>
            </w14:solidFill>
          </w14:textFill>
        </w:rPr>
        <w:t>上下游企业共同体</w:t>
      </w:r>
      <w:r>
        <w:rPr>
          <w:rFonts w:hint="eastAsia" w:ascii="仿宋" w:hAnsi="仿宋" w:eastAsia="仿宋" w:cs="仿宋"/>
          <w:b w:val="0"/>
          <w:bCs w:val="0"/>
          <w:color w:val="000000" w:themeColor="text1"/>
          <w:sz w:val="28"/>
          <w:szCs w:val="28"/>
          <w:lang w:val="en-US" w:eastAsia="zh-CN"/>
          <w14:textFill>
            <w14:solidFill>
              <w14:schemeClr w14:val="tx1"/>
            </w14:solidFill>
          </w14:textFill>
        </w:rPr>
        <w:t>，深化推进上下游战略供应商、战略客户、合作院所开展</w:t>
      </w:r>
      <w:r>
        <w:rPr>
          <w:rFonts w:hint="eastAsia" w:ascii="仿宋" w:hAnsi="仿宋" w:eastAsia="仿宋" w:cs="仿宋"/>
          <w:b w:val="0"/>
          <w:bCs w:val="0"/>
          <w:color w:val="000000" w:themeColor="text1"/>
          <w:sz w:val="28"/>
          <w:szCs w:val="28"/>
          <w14:textFill>
            <w14:solidFill>
              <w14:schemeClr w14:val="tx1"/>
            </w14:solidFill>
          </w14:textFill>
        </w:rPr>
        <w:t>关键核心技术研发合作，</w:t>
      </w:r>
      <w:r>
        <w:rPr>
          <w:rFonts w:hint="eastAsia" w:ascii="仿宋" w:hAnsi="仿宋" w:eastAsia="仿宋" w:cs="仿宋"/>
          <w:b w:val="0"/>
          <w:bCs w:val="0"/>
          <w:color w:val="000000" w:themeColor="text1"/>
          <w:sz w:val="28"/>
          <w:szCs w:val="28"/>
          <w:lang w:val="en-US" w:eastAsia="zh-CN"/>
          <w14:textFill>
            <w14:solidFill>
              <w14:schemeClr w14:val="tx1"/>
            </w14:solidFill>
          </w14:textFill>
        </w:rPr>
        <w:t>推动构建上下游产业链协同创新发展的生态链</w:t>
      </w:r>
      <w:r>
        <w:rPr>
          <w:rFonts w:hint="eastAsia" w:ascii="仿宋" w:hAnsi="仿宋" w:eastAsia="仿宋" w:cs="仿宋"/>
          <w:b w:val="0"/>
          <w:bCs w:val="0"/>
          <w:color w:val="000000" w:themeColor="text1"/>
          <w:sz w:val="28"/>
          <w:szCs w:val="28"/>
          <w:lang w:eastAsia="zh-CN"/>
          <w14:textFill>
            <w14:solidFill>
              <w14:schemeClr w14:val="tx1"/>
            </w14:solidFill>
          </w14:textFill>
        </w:rPr>
        <w:t>。</w:t>
      </w:r>
    </w:p>
    <w:p w14:paraId="172B2DE0">
      <w:pPr>
        <w:pStyle w:val="2"/>
        <w:keepNext w:val="0"/>
        <w:keepLines w:val="0"/>
        <w:pageBreakBefore w:val="0"/>
        <w:numPr>
          <w:ilvl w:val="0"/>
          <w:numId w:val="5"/>
        </w:numPr>
        <w:kinsoku/>
        <w:overflowPunct/>
        <w:topLinePunct w:val="0"/>
        <w:autoSpaceDE/>
        <w:autoSpaceDN/>
        <w:bidi w:val="0"/>
        <w:spacing w:after="0" w:line="600" w:lineRule="exact"/>
        <w:ind w:left="0" w:leftChars="0" w:firstLine="0" w:firstLine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为客户提供高质量的产品和服务</w:t>
      </w:r>
    </w:p>
    <w:p w14:paraId="060700B4">
      <w:pPr>
        <w:pStyle w:val="2"/>
        <w:keepNext w:val="0"/>
        <w:keepLines w:val="0"/>
        <w:pageBreakBefore w:val="0"/>
        <w:numPr>
          <w:ilvl w:val="0"/>
          <w:numId w:val="0"/>
        </w:numPr>
        <w:kinsoku/>
        <w:overflowPunct/>
        <w:topLinePunct w:val="0"/>
        <w:autoSpaceDE/>
        <w:autoSpaceDN/>
        <w:bidi w:val="0"/>
        <w:spacing w:after="0" w:line="600" w:lineRule="exact"/>
        <w:ind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公司始终坚持“</w:t>
      </w:r>
      <w:r>
        <w:rPr>
          <w:rFonts w:hint="eastAsia" w:ascii="仿宋" w:hAnsi="仿宋" w:eastAsia="仿宋" w:cs="仿宋"/>
          <w:sz w:val="28"/>
          <w:szCs w:val="28"/>
          <w:highlight w:val="none"/>
          <w:lang w:val="en-US" w:eastAsia="zh-CN"/>
        </w:rPr>
        <w:t>诚于己、诚于人、诚于物</w:t>
      </w:r>
      <w:r>
        <w:rPr>
          <w:rFonts w:hint="eastAsia" w:ascii="仿宋" w:hAnsi="仿宋" w:eastAsia="仿宋" w:cs="仿宋"/>
          <w:sz w:val="28"/>
          <w:szCs w:val="28"/>
          <w:lang w:val="en-US" w:eastAsia="zh-CN"/>
        </w:rPr>
        <w:t>”的质量理念，将稳定和提升产品质量作为全员共同奋斗的目标，并通过长期实践逐渐形成质量控制循环体系：掌握客户需求，团结协同开发，标准规范制造，监测分析改进，预防减少风险，销售交付得当，技术服务支持，客户满意提升。</w:t>
      </w:r>
    </w:p>
    <w:p w14:paraId="1871E291">
      <w:pPr>
        <w:pStyle w:val="2"/>
        <w:keepNext w:val="0"/>
        <w:keepLines w:val="0"/>
        <w:pageBreakBefore w:val="0"/>
        <w:numPr>
          <w:ilvl w:val="0"/>
          <w:numId w:val="7"/>
        </w:numPr>
        <w:kinsoku/>
        <w:overflowPunct/>
        <w:topLinePunct w:val="0"/>
        <w:autoSpaceDE/>
        <w:autoSpaceDN/>
        <w:bidi w:val="0"/>
        <w:spacing w:after="0" w:line="600" w:lineRule="exact"/>
        <w:ind w:firstLine="562" w:firstLineChars="20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全面实施质量管理</w:t>
      </w:r>
    </w:p>
    <w:p w14:paraId="5CCFAB8D">
      <w:pPr>
        <w:pStyle w:val="2"/>
        <w:keepNext w:val="0"/>
        <w:keepLines w:val="0"/>
        <w:pageBreakBefore w:val="0"/>
        <w:numPr>
          <w:ilvl w:val="0"/>
          <w:numId w:val="0"/>
        </w:numPr>
        <w:kinsoku/>
        <w:overflowPunct/>
        <w:topLinePunct w:val="0"/>
        <w:autoSpaceDE/>
        <w:autoSpaceDN/>
        <w:bidi w:val="0"/>
        <w:spacing w:after="0" w:line="600" w:lineRule="exact"/>
        <w:ind w:right="-313" w:rightChars="-149" w:firstLine="560" w:firstLineChars="200"/>
        <w:textAlignment w:val="auto"/>
        <w:rPr>
          <w:rFonts w:hint="eastAsia" w:ascii="仿宋" w:hAnsi="仿宋" w:eastAsia="仿宋" w:cs="仿宋"/>
          <w:b/>
          <w:bCs/>
          <w:color w:val="000000"/>
          <w:sz w:val="28"/>
          <w:szCs w:val="28"/>
          <w:lang w:val="en-US" w:eastAsia="zh-CN"/>
        </w:rPr>
      </w:pPr>
      <w:r>
        <w:rPr>
          <w:rFonts w:hint="eastAsia" w:ascii="仿宋" w:hAnsi="仿宋" w:eastAsia="仿宋" w:cs="仿宋"/>
          <w:b w:val="0"/>
          <w:bCs w:val="0"/>
          <w:color w:val="333333"/>
          <w:sz w:val="28"/>
          <w:szCs w:val="28"/>
          <w:shd w:val="clear" w:color="auto" w:fill="FFFFFF"/>
          <w:lang w:val="en-US" w:eastAsia="zh-CN"/>
        </w:rPr>
        <w:t>公司推行</w:t>
      </w:r>
      <w:r>
        <w:rPr>
          <w:rFonts w:hint="eastAsia" w:ascii="仿宋" w:hAnsi="仿宋" w:eastAsia="仿宋" w:cs="仿宋"/>
          <w:b w:val="0"/>
          <w:bCs w:val="0"/>
          <w:color w:val="333333"/>
          <w:sz w:val="28"/>
          <w:szCs w:val="28"/>
          <w:shd w:val="clear" w:color="auto" w:fill="FFFFFF"/>
        </w:rPr>
        <w:t>全生命周期质量管理模式</w:t>
      </w:r>
      <w:r>
        <w:rPr>
          <w:rFonts w:hint="eastAsia" w:ascii="仿宋" w:hAnsi="仿宋" w:eastAsia="仿宋" w:cs="仿宋"/>
          <w:b w:val="0"/>
          <w:bCs w:val="0"/>
          <w:color w:val="333333"/>
          <w:sz w:val="28"/>
          <w:szCs w:val="28"/>
          <w:shd w:val="clear" w:color="auto" w:fill="FFFFFF"/>
          <w:lang w:eastAsia="zh-CN"/>
        </w:rPr>
        <w:t>，</w:t>
      </w:r>
      <w:r>
        <w:rPr>
          <w:rFonts w:hint="eastAsia" w:ascii="仿宋" w:hAnsi="仿宋" w:eastAsia="仿宋" w:cs="仿宋"/>
          <w:color w:val="333333"/>
          <w:sz w:val="28"/>
          <w:szCs w:val="28"/>
          <w:shd w:val="clear" w:color="auto" w:fill="FFFFFF"/>
          <w:lang w:val="en-US" w:eastAsia="zh-CN"/>
        </w:rPr>
        <w:t>即</w:t>
      </w:r>
      <w:r>
        <w:rPr>
          <w:rFonts w:hint="eastAsia" w:ascii="仿宋" w:hAnsi="仿宋" w:eastAsia="仿宋" w:cs="仿宋"/>
          <w:color w:val="333333"/>
          <w:sz w:val="28"/>
          <w:szCs w:val="28"/>
          <w:shd w:val="clear" w:color="auto" w:fill="FFFFFF"/>
        </w:rPr>
        <w:t>“三全”、“四一切”。“三全”是指对全面质量、全部过程和由全体人员参加的管理；“四一切”</w:t>
      </w:r>
      <w:r>
        <w:rPr>
          <w:rFonts w:hint="eastAsia" w:ascii="仿宋" w:hAnsi="仿宋" w:eastAsia="仿宋" w:cs="仿宋"/>
          <w:color w:val="333333"/>
          <w:sz w:val="28"/>
          <w:szCs w:val="28"/>
          <w:shd w:val="clear" w:color="auto" w:fill="FFFFFF"/>
          <w:lang w:val="en-US" w:eastAsia="zh-CN"/>
        </w:rPr>
        <w:t>是</w:t>
      </w:r>
      <w:r>
        <w:rPr>
          <w:rFonts w:hint="eastAsia" w:ascii="仿宋" w:hAnsi="仿宋" w:eastAsia="仿宋" w:cs="仿宋"/>
          <w:color w:val="333333"/>
          <w:sz w:val="28"/>
          <w:szCs w:val="28"/>
          <w:shd w:val="clear" w:color="auto" w:fill="FFFFFF"/>
        </w:rPr>
        <w:t>一切为用户着想，一切以预防为主，一切以数据说话，一切工作按PDCA循环进行。 公司主要通过以下方法推行</w:t>
      </w:r>
      <w:r>
        <w:rPr>
          <w:rFonts w:hint="eastAsia" w:ascii="仿宋" w:hAnsi="仿宋" w:eastAsia="仿宋" w:cs="仿宋"/>
          <w:bCs/>
          <w:sz w:val="28"/>
          <w:szCs w:val="28"/>
        </w:rPr>
        <w:t>全生命周期质量管理</w:t>
      </w: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shd w:val="clear" w:color="auto" w:fill="FFFFFF"/>
        </w:rPr>
        <w:br w:type="textWrapping"/>
      </w:r>
      <w:r>
        <w:rPr>
          <w:rFonts w:hint="eastAsia" w:ascii="仿宋" w:hAnsi="仿宋" w:eastAsia="仿宋" w:cs="仿宋"/>
          <w:color w:val="333333"/>
          <w:sz w:val="28"/>
          <w:szCs w:val="28"/>
          <w:shd w:val="clear" w:color="auto" w:fill="FFFFFF"/>
          <w:lang w:val="en-US" w:eastAsia="zh-CN"/>
        </w:rPr>
        <w:t xml:space="preserve">    </w:t>
      </w:r>
      <w:r>
        <w:rPr>
          <w:rFonts w:hint="eastAsia" w:ascii="仿宋" w:hAnsi="仿宋" w:eastAsia="仿宋" w:cs="仿宋"/>
          <w:b/>
          <w:bCs/>
          <w:color w:val="333333"/>
          <w:sz w:val="28"/>
          <w:szCs w:val="28"/>
          <w:shd w:val="clear" w:color="auto" w:fill="FFFFFF"/>
          <w:lang w:val="en-US" w:eastAsia="zh-CN"/>
        </w:rPr>
        <w:t>一是</w:t>
      </w:r>
      <w:r>
        <w:rPr>
          <w:rFonts w:hint="eastAsia" w:ascii="仿宋" w:hAnsi="仿宋" w:eastAsia="仿宋" w:cs="仿宋"/>
          <w:b/>
          <w:bCs/>
          <w:color w:val="333333"/>
          <w:sz w:val="28"/>
          <w:szCs w:val="28"/>
          <w:shd w:val="clear" w:color="auto" w:fill="FFFFFF"/>
        </w:rPr>
        <w:t>树立全面质量管理意识。</w:t>
      </w:r>
      <w:r>
        <w:rPr>
          <w:rFonts w:hint="eastAsia" w:ascii="仿宋" w:hAnsi="仿宋" w:eastAsia="仿宋" w:cs="仿宋"/>
          <w:sz w:val="28"/>
          <w:szCs w:val="28"/>
        </w:rPr>
        <w:t>公司以“易锻箴言”为企业文化纲领，形成了独特的</w:t>
      </w:r>
      <w:r>
        <w:rPr>
          <w:rFonts w:hint="eastAsia" w:ascii="仿宋" w:hAnsi="仿宋" w:eastAsia="仿宋" w:cs="仿宋"/>
          <w:sz w:val="28"/>
          <w:szCs w:val="28"/>
          <w:lang w:val="en-US" w:eastAsia="zh-CN"/>
        </w:rPr>
        <w:t>质量</w:t>
      </w:r>
      <w:r>
        <w:rPr>
          <w:rFonts w:hint="eastAsia" w:ascii="仿宋" w:hAnsi="仿宋" w:eastAsia="仿宋" w:cs="仿宋"/>
          <w:sz w:val="28"/>
          <w:szCs w:val="28"/>
        </w:rPr>
        <w:t>文化体系，以文化建设引领公司经营质量的提升，构建质量诚信体系，树立良好企业形象，为产品、服务质量的完善提供系统保障。</w:t>
      </w:r>
      <w:r>
        <w:rPr>
          <w:rFonts w:hint="eastAsia" w:ascii="仿宋" w:hAnsi="仿宋" w:eastAsia="仿宋" w:cs="仿宋"/>
          <w:b/>
          <w:bCs/>
          <w:color w:val="333333"/>
          <w:sz w:val="28"/>
          <w:szCs w:val="28"/>
          <w:shd w:val="clear" w:color="auto" w:fill="FFFFFF"/>
          <w:lang w:val="en-US" w:eastAsia="zh-CN"/>
        </w:rPr>
        <w:t>二是</w:t>
      </w:r>
      <w:r>
        <w:rPr>
          <w:rFonts w:hint="eastAsia" w:ascii="仿宋" w:hAnsi="仿宋" w:eastAsia="仿宋" w:cs="仿宋"/>
          <w:b/>
          <w:bCs/>
          <w:color w:val="333333"/>
          <w:sz w:val="28"/>
          <w:szCs w:val="28"/>
          <w:shd w:val="clear" w:color="auto" w:fill="FFFFFF"/>
        </w:rPr>
        <w:t>建立健全质量管理制度体系</w:t>
      </w:r>
      <w:r>
        <w:rPr>
          <w:rFonts w:hint="eastAsia" w:ascii="仿宋" w:hAnsi="仿宋" w:eastAsia="仿宋" w:cs="仿宋"/>
          <w:b/>
          <w:bCs/>
          <w:color w:val="333333"/>
          <w:sz w:val="28"/>
          <w:szCs w:val="28"/>
          <w:shd w:val="clear" w:color="auto" w:fill="FFFFFF"/>
          <w:lang w:eastAsia="zh-CN"/>
        </w:rPr>
        <w:t>。</w:t>
      </w:r>
      <w:r>
        <w:rPr>
          <w:rFonts w:hint="eastAsia" w:ascii="仿宋" w:hAnsi="仿宋" w:eastAsia="仿宋" w:cs="仿宋"/>
          <w:color w:val="000000"/>
          <w:sz w:val="28"/>
          <w:szCs w:val="28"/>
        </w:rPr>
        <w:t>已通过</w:t>
      </w:r>
      <w:r>
        <w:rPr>
          <w:rFonts w:hint="eastAsia" w:ascii="仿宋" w:hAnsi="仿宋" w:eastAsia="仿宋" w:cs="仿宋"/>
          <w:color w:val="000000"/>
          <w:sz w:val="28"/>
          <w:szCs w:val="28"/>
          <w:lang w:eastAsia="en-US" w:bidi="en-US"/>
        </w:rPr>
        <w:t>IS09001</w:t>
      </w:r>
      <w:r>
        <w:rPr>
          <w:rFonts w:hint="eastAsia" w:ascii="仿宋" w:hAnsi="仿宋" w:eastAsia="仿宋" w:cs="仿宋"/>
          <w:color w:val="000000"/>
          <w:sz w:val="28"/>
          <w:szCs w:val="28"/>
        </w:rPr>
        <w:t>质量管理体系、</w:t>
      </w:r>
      <w:r>
        <w:rPr>
          <w:rFonts w:hint="eastAsia" w:ascii="仿宋" w:hAnsi="仿宋" w:eastAsia="仿宋" w:cs="仿宋"/>
          <w:color w:val="000000"/>
          <w:sz w:val="28"/>
          <w:szCs w:val="28"/>
          <w:lang w:eastAsia="en-US" w:bidi="en-US"/>
        </w:rPr>
        <w:t>IS014001</w:t>
      </w:r>
      <w:r>
        <w:rPr>
          <w:rFonts w:hint="eastAsia" w:ascii="仿宋" w:hAnsi="仿宋" w:eastAsia="仿宋" w:cs="仿宋"/>
          <w:color w:val="000000"/>
          <w:sz w:val="28"/>
          <w:szCs w:val="28"/>
        </w:rPr>
        <w:t>环境管理体系、</w:t>
      </w:r>
      <w:r>
        <w:rPr>
          <w:rFonts w:hint="eastAsia" w:ascii="仿宋" w:hAnsi="仿宋" w:eastAsia="仿宋" w:cs="仿宋"/>
          <w:color w:val="000000"/>
          <w:sz w:val="28"/>
          <w:szCs w:val="28"/>
          <w:lang w:eastAsia="en-US" w:bidi="en-US"/>
        </w:rPr>
        <w:t>IS045001</w:t>
      </w:r>
      <w:r>
        <w:rPr>
          <w:rFonts w:hint="eastAsia" w:ascii="仿宋" w:hAnsi="仿宋" w:eastAsia="仿宋" w:cs="仿宋"/>
          <w:color w:val="000000"/>
          <w:sz w:val="28"/>
          <w:szCs w:val="28"/>
        </w:rPr>
        <w:t>职业健康安全管理体系、GB/T19022测量管理体系、GB/T29490知识产权管理体系、GB/T23001两化融合管理体系等认证</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自行导入卓越绩效管理体系</w:t>
      </w:r>
      <w:r>
        <w:rPr>
          <w:rFonts w:hint="eastAsia" w:ascii="仿宋" w:hAnsi="仿宋" w:eastAsia="仿宋" w:cs="仿宋"/>
          <w:color w:val="000000"/>
          <w:sz w:val="28"/>
          <w:szCs w:val="28"/>
          <w:lang w:eastAsia="zh-CN"/>
        </w:rPr>
        <w:t>；</w:t>
      </w:r>
      <w:r>
        <w:rPr>
          <w:rFonts w:hint="eastAsia" w:ascii="仿宋" w:hAnsi="仿宋" w:eastAsia="仿宋" w:cs="仿宋"/>
          <w:b/>
          <w:bCs/>
          <w:color w:val="000000"/>
          <w:sz w:val="28"/>
          <w:szCs w:val="28"/>
          <w:lang w:val="en-US" w:eastAsia="zh-CN"/>
        </w:rPr>
        <w:t>三是积极开展信息化建设。</w:t>
      </w:r>
      <w:r>
        <w:rPr>
          <w:rFonts w:hint="eastAsia" w:ascii="仿宋" w:hAnsi="仿宋" w:eastAsia="仿宋" w:cs="仿宋"/>
          <w:b w:val="0"/>
          <w:bCs w:val="0"/>
          <w:color w:val="000000" w:themeColor="text1"/>
          <w:sz w:val="28"/>
          <w:szCs w:val="28"/>
          <w14:textFill>
            <w14:solidFill>
              <w14:schemeClr w14:val="tx1"/>
            </w14:solidFill>
          </w14:textFill>
        </w:rPr>
        <w:t>全面</w:t>
      </w:r>
      <w:r>
        <w:rPr>
          <w:rFonts w:hint="eastAsia" w:ascii="仿宋" w:hAnsi="仿宋" w:eastAsia="仿宋" w:cs="仿宋"/>
          <w:b w:val="0"/>
          <w:bCs w:val="0"/>
          <w:color w:val="000000" w:themeColor="text1"/>
          <w:sz w:val="28"/>
          <w:szCs w:val="28"/>
          <w:lang w:val="en-US" w:eastAsia="zh-CN"/>
          <w14:textFill>
            <w14:solidFill>
              <w14:schemeClr w14:val="tx1"/>
            </w14:solidFill>
          </w14:textFill>
        </w:rPr>
        <w:t>搭建</w:t>
      </w:r>
      <w:r>
        <w:rPr>
          <w:rFonts w:hint="eastAsia" w:ascii="仿宋" w:hAnsi="仿宋" w:eastAsia="仿宋" w:cs="仿宋"/>
          <w:b w:val="0"/>
          <w:bCs w:val="0"/>
          <w:color w:val="000000" w:themeColor="text1"/>
          <w:sz w:val="28"/>
          <w:szCs w:val="28"/>
          <w14:textFill>
            <w14:solidFill>
              <w14:schemeClr w14:val="tx1"/>
            </w14:solidFill>
          </w14:textFill>
        </w:rPr>
        <w:t xml:space="preserve"> ERP、PDM、</w:t>
      </w:r>
      <w:r>
        <w:rPr>
          <w:rFonts w:hint="eastAsia" w:ascii="仿宋" w:hAnsi="仿宋" w:eastAsia="仿宋" w:cs="仿宋"/>
          <w:b w:val="0"/>
          <w:bCs w:val="0"/>
          <w:color w:val="000000" w:themeColor="text1"/>
          <w:sz w:val="28"/>
          <w:szCs w:val="28"/>
          <w:lang w:val="en-US" w:eastAsia="zh-CN"/>
          <w14:textFill>
            <w14:solidFill>
              <w14:schemeClr w14:val="tx1"/>
            </w14:solidFill>
          </w14:textFill>
        </w:rPr>
        <w:t>MES、</w:t>
      </w:r>
      <w:r>
        <w:rPr>
          <w:rFonts w:hint="eastAsia" w:ascii="仿宋" w:hAnsi="仿宋" w:eastAsia="仿宋" w:cs="仿宋"/>
          <w:b w:val="0"/>
          <w:bCs w:val="0"/>
          <w:color w:val="000000" w:themeColor="text1"/>
          <w:sz w:val="28"/>
          <w:szCs w:val="28"/>
          <w14:textFill>
            <w14:solidFill>
              <w14:schemeClr w14:val="tx1"/>
            </w14:solidFill>
          </w14:textFill>
        </w:rPr>
        <w:t>智能冲压管理</w:t>
      </w:r>
      <w:r>
        <w:rPr>
          <w:rFonts w:hint="eastAsia" w:ascii="仿宋" w:hAnsi="仿宋" w:eastAsia="仿宋" w:cs="仿宋"/>
          <w:b w:val="0"/>
          <w:bCs w:val="0"/>
          <w:color w:val="000000" w:themeColor="text1"/>
          <w:sz w:val="28"/>
          <w:szCs w:val="28"/>
          <w:highlight w:val="none"/>
          <w14:textFill>
            <w14:solidFill>
              <w14:schemeClr w14:val="tx1"/>
            </w14:solidFill>
          </w14:textFill>
        </w:rPr>
        <w:t>系统等信息系统</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实现生产管控监测全方位、无死角</w:t>
      </w:r>
      <w:r>
        <w:rPr>
          <w:rFonts w:hint="eastAsia" w:ascii="仿宋" w:hAnsi="仿宋" w:eastAsia="仿宋" w:cs="仿宋"/>
          <w:color w:val="000000"/>
          <w:sz w:val="28"/>
          <w:szCs w:val="28"/>
        </w:rPr>
        <w:t>；</w:t>
      </w:r>
      <w:r>
        <w:rPr>
          <w:rFonts w:hint="eastAsia" w:ascii="仿宋" w:hAnsi="仿宋" w:eastAsia="仿宋" w:cs="仿宋"/>
          <w:b/>
          <w:bCs/>
          <w:color w:val="000000"/>
          <w:sz w:val="28"/>
          <w:szCs w:val="28"/>
          <w:lang w:val="en-US" w:eastAsia="zh-CN"/>
        </w:rPr>
        <w:t>四是</w:t>
      </w:r>
      <w:r>
        <w:rPr>
          <w:rFonts w:hint="eastAsia" w:ascii="仿宋" w:hAnsi="仿宋" w:eastAsia="仿宋" w:cs="仿宋"/>
          <w:b/>
          <w:bCs/>
          <w:color w:val="000000"/>
          <w:sz w:val="28"/>
          <w:szCs w:val="28"/>
        </w:rPr>
        <w:t>重点推进生产计划及物料管控量化目标管理</w:t>
      </w:r>
      <w:r>
        <w:rPr>
          <w:rFonts w:hint="eastAsia" w:ascii="仿宋" w:hAnsi="仿宋" w:eastAsia="仿宋" w:cs="仿宋"/>
          <w:b/>
          <w:bCs/>
          <w:color w:val="000000"/>
          <w:sz w:val="28"/>
          <w:szCs w:val="28"/>
          <w:lang w:eastAsia="zh-CN"/>
        </w:rPr>
        <w:t>。</w:t>
      </w:r>
      <w:r>
        <w:rPr>
          <w:rFonts w:hint="eastAsia" w:ascii="仿宋" w:hAnsi="仿宋" w:eastAsia="仿宋" w:cs="仿宋"/>
          <w:b w:val="0"/>
          <w:bCs w:val="0"/>
          <w:color w:val="000000"/>
          <w:sz w:val="28"/>
          <w:szCs w:val="28"/>
          <w:lang w:val="en-US" w:eastAsia="zh-CN"/>
        </w:rPr>
        <w:t>如</w:t>
      </w:r>
      <w:r>
        <w:rPr>
          <w:rFonts w:hint="eastAsia" w:ascii="仿宋" w:hAnsi="仿宋" w:eastAsia="仿宋" w:cs="仿宋"/>
          <w:color w:val="000000"/>
          <w:sz w:val="28"/>
          <w:szCs w:val="28"/>
        </w:rPr>
        <w:t>6S现场目视化管理，精益日常管理及班组建设，周、月生产质量</w:t>
      </w:r>
      <w:r>
        <w:rPr>
          <w:rFonts w:hint="eastAsia" w:ascii="仿宋" w:hAnsi="仿宋" w:eastAsia="仿宋" w:cs="仿宋"/>
          <w:color w:val="333333"/>
          <w:sz w:val="28"/>
          <w:szCs w:val="28"/>
          <w:shd w:val="clear" w:color="auto" w:fill="FFFFFF"/>
        </w:rPr>
        <w:t>异常问题看板、</w:t>
      </w:r>
      <w:r>
        <w:rPr>
          <w:rFonts w:hint="eastAsia" w:ascii="仿宋" w:hAnsi="仿宋" w:eastAsia="仿宋" w:cs="仿宋"/>
          <w:color w:val="000000"/>
          <w:sz w:val="28"/>
          <w:szCs w:val="28"/>
        </w:rPr>
        <w:t>售后问题快速解决直通车</w:t>
      </w:r>
      <w:r>
        <w:rPr>
          <w:rFonts w:hint="eastAsia" w:ascii="仿宋" w:hAnsi="仿宋" w:eastAsia="仿宋" w:cs="仿宋"/>
          <w:color w:val="000000"/>
          <w:sz w:val="28"/>
          <w:szCs w:val="28"/>
          <w:lang w:eastAsia="zh-CN"/>
        </w:rPr>
        <w:t>，</w:t>
      </w:r>
      <w:r>
        <w:rPr>
          <w:rFonts w:hint="eastAsia" w:ascii="仿宋" w:hAnsi="仿宋" w:eastAsia="仿宋" w:cs="仿宋"/>
          <w:color w:val="333333"/>
          <w:sz w:val="28"/>
          <w:szCs w:val="28"/>
          <w:shd w:val="clear" w:color="auto" w:fill="FFFFFF"/>
        </w:rPr>
        <w:t>质量绩效体系建设</w:t>
      </w:r>
      <w:r>
        <w:rPr>
          <w:rFonts w:hint="eastAsia" w:ascii="仿宋" w:hAnsi="仿宋" w:eastAsia="仿宋" w:cs="仿宋"/>
          <w:color w:val="000000"/>
          <w:sz w:val="28"/>
          <w:szCs w:val="28"/>
        </w:rPr>
        <w:t>。通过这些措施更为</w:t>
      </w:r>
      <w:r>
        <w:rPr>
          <w:rFonts w:hint="eastAsia" w:ascii="仿宋" w:hAnsi="仿宋" w:eastAsia="仿宋" w:cs="仿宋"/>
          <w:color w:val="000000"/>
          <w:sz w:val="28"/>
          <w:szCs w:val="28"/>
          <w:lang w:val="en-US" w:eastAsia="zh-CN"/>
        </w:rPr>
        <w:t>具体、</w:t>
      </w:r>
      <w:r>
        <w:rPr>
          <w:rFonts w:hint="eastAsia" w:ascii="仿宋" w:hAnsi="仿宋" w:eastAsia="仿宋" w:cs="仿宋"/>
          <w:color w:val="000000"/>
          <w:sz w:val="28"/>
          <w:szCs w:val="28"/>
        </w:rPr>
        <w:t>精细、高效</w:t>
      </w:r>
      <w:r>
        <w:rPr>
          <w:rFonts w:hint="eastAsia" w:ascii="仿宋" w:hAnsi="仿宋" w:eastAsia="仿宋" w:cs="仿宋"/>
          <w:color w:val="000000"/>
          <w:sz w:val="28"/>
          <w:szCs w:val="28"/>
          <w:lang w:val="en-US" w:eastAsia="zh-CN"/>
        </w:rPr>
        <w:t>地实施</w:t>
      </w:r>
      <w:r>
        <w:rPr>
          <w:rFonts w:hint="eastAsia" w:ascii="仿宋" w:hAnsi="仿宋" w:eastAsia="仿宋" w:cs="仿宋"/>
          <w:color w:val="000000"/>
          <w:sz w:val="28"/>
          <w:szCs w:val="28"/>
        </w:rPr>
        <w:t>质量管理体系</w:t>
      </w:r>
      <w:r>
        <w:rPr>
          <w:rFonts w:hint="eastAsia" w:ascii="仿宋" w:hAnsi="仿宋" w:eastAsia="仿宋" w:cs="仿宋"/>
          <w:color w:val="000000"/>
          <w:sz w:val="28"/>
          <w:szCs w:val="28"/>
          <w:lang w:val="en-US" w:eastAsia="zh-CN"/>
        </w:rPr>
        <w:t>等标准化管理</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保证各部门</w:t>
      </w:r>
      <w:r>
        <w:rPr>
          <w:rFonts w:hint="eastAsia" w:ascii="仿宋" w:hAnsi="仿宋" w:eastAsia="仿宋" w:cs="仿宋"/>
          <w:color w:val="000000"/>
          <w:sz w:val="28"/>
          <w:szCs w:val="28"/>
        </w:rPr>
        <w:t>各环节能</w:t>
      </w:r>
      <w:r>
        <w:rPr>
          <w:rFonts w:hint="eastAsia" w:ascii="仿宋" w:hAnsi="仿宋" w:eastAsia="仿宋" w:cs="仿宋"/>
          <w:b w:val="0"/>
          <w:bCs w:val="0"/>
          <w:color w:val="000000" w:themeColor="text1"/>
          <w:sz w:val="28"/>
          <w:szCs w:val="28"/>
          <w14:textFill>
            <w14:solidFill>
              <w14:schemeClr w14:val="tx1"/>
            </w14:solidFill>
          </w14:textFill>
        </w:rPr>
        <w:t>快速</w:t>
      </w:r>
      <w:r>
        <w:rPr>
          <w:rFonts w:hint="eastAsia" w:ascii="仿宋" w:hAnsi="仿宋" w:eastAsia="仿宋" w:cs="仿宋"/>
          <w:b w:val="0"/>
          <w:bCs w:val="0"/>
          <w:color w:val="000000" w:themeColor="text1"/>
          <w:sz w:val="28"/>
          <w:szCs w:val="28"/>
          <w:lang w:val="en-US" w:eastAsia="zh-CN"/>
          <w14:textFill>
            <w14:solidFill>
              <w14:schemeClr w14:val="tx1"/>
            </w14:solidFill>
          </w14:textFill>
        </w:rPr>
        <w:t>响应</w:t>
      </w:r>
      <w:r>
        <w:rPr>
          <w:rFonts w:hint="eastAsia" w:ascii="仿宋" w:hAnsi="仿宋" w:eastAsia="仿宋" w:cs="仿宋"/>
          <w:b w:val="0"/>
          <w:bCs w:val="0"/>
          <w:color w:val="000000" w:themeColor="text1"/>
          <w:sz w:val="28"/>
          <w:szCs w:val="28"/>
          <w14:textFill>
            <w14:solidFill>
              <w14:schemeClr w14:val="tx1"/>
            </w14:solidFill>
          </w14:textFill>
        </w:rPr>
        <w:t>、</w:t>
      </w:r>
      <w:r>
        <w:rPr>
          <w:rFonts w:hint="eastAsia" w:ascii="仿宋" w:hAnsi="仿宋" w:eastAsia="仿宋" w:cs="仿宋"/>
          <w:color w:val="000000"/>
          <w:sz w:val="28"/>
          <w:szCs w:val="28"/>
        </w:rPr>
        <w:t>运行精准、协同配合，</w:t>
      </w:r>
      <w:r>
        <w:rPr>
          <w:rFonts w:hint="eastAsia" w:ascii="仿宋" w:hAnsi="仿宋" w:eastAsia="仿宋" w:cs="仿宋"/>
          <w:color w:val="000000"/>
          <w:sz w:val="28"/>
          <w:szCs w:val="28"/>
          <w:lang w:val="en-US" w:eastAsia="zh-CN"/>
        </w:rPr>
        <w:t>从组织、机制上保证服务客户优质精良</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从而</w:t>
      </w:r>
      <w:r>
        <w:rPr>
          <w:rFonts w:hint="eastAsia" w:ascii="仿宋" w:hAnsi="仿宋" w:eastAsia="仿宋" w:cs="仿宋"/>
          <w:color w:val="000000"/>
          <w:sz w:val="28"/>
          <w:szCs w:val="28"/>
        </w:rPr>
        <w:t>赢得市场认可和客户的信赖。</w:t>
      </w:r>
    </w:p>
    <w:p w14:paraId="6B120451">
      <w:pPr>
        <w:keepNext w:val="0"/>
        <w:keepLines w:val="0"/>
        <w:pageBreakBefore w:val="0"/>
        <w:widowControl/>
        <w:kinsoku/>
        <w:overflowPunct/>
        <w:topLinePunct w:val="0"/>
        <w:autoSpaceDE/>
        <w:autoSpaceDN/>
        <w:bidi w:val="0"/>
        <w:snapToGrid w:val="0"/>
        <w:spacing w:line="600" w:lineRule="exact"/>
        <w:ind w:right="-313" w:rightChars="-149" w:firstLine="562" w:firstLineChars="200"/>
        <w:jc w:val="left"/>
        <w:textAlignment w:val="auto"/>
        <w:rPr>
          <w:rFonts w:hint="eastAsia" w:ascii="仿宋" w:hAnsi="仿宋" w:eastAsia="仿宋" w:cs="仿宋"/>
          <w:b w:val="0"/>
          <w:bCs w:val="0"/>
          <w:color w:val="000000"/>
          <w:spacing w:val="0"/>
          <w:w w:val="100"/>
          <w:position w:val="0"/>
          <w:sz w:val="28"/>
          <w:szCs w:val="28"/>
        </w:rPr>
      </w:pPr>
      <w:r>
        <w:rPr>
          <w:rFonts w:hint="eastAsia" w:ascii="仿宋" w:hAnsi="仿宋" w:eastAsia="仿宋" w:cs="仿宋"/>
          <w:b/>
          <w:bCs/>
          <w:color w:val="000000" w:themeColor="text1"/>
          <w:sz w:val="28"/>
          <w:szCs w:val="28"/>
          <w:vertAlign w:val="baseline"/>
          <w:lang w:val="en-US" w:eastAsia="zh-CN"/>
          <w14:textFill>
            <w14:solidFill>
              <w14:schemeClr w14:val="tx1"/>
            </w14:solidFill>
          </w14:textFill>
        </w:rPr>
        <w:t>（1）精益生产：</w:t>
      </w:r>
      <w:r>
        <w:rPr>
          <w:rFonts w:hint="eastAsia" w:ascii="仿宋" w:hAnsi="仿宋" w:eastAsia="仿宋" w:cs="仿宋"/>
          <w:b w:val="0"/>
          <w:bCs w:val="0"/>
          <w:color w:val="000000" w:themeColor="text1"/>
          <w:sz w:val="28"/>
          <w:szCs w:val="28"/>
          <w:vertAlign w:val="baseline"/>
          <w:lang w:val="en-US" w:eastAsia="zh-CN"/>
          <w14:textFill>
            <w14:solidFill>
              <w14:schemeClr w14:val="tx1"/>
            </w14:solidFill>
          </w14:textFill>
        </w:rPr>
        <w:t>公司</w:t>
      </w:r>
      <w:r>
        <w:rPr>
          <w:rFonts w:hint="eastAsia" w:ascii="仿宋" w:hAnsi="仿宋" w:eastAsia="仿宋" w:cs="仿宋"/>
          <w:sz w:val="28"/>
          <w:szCs w:val="28"/>
        </w:rPr>
        <w:t>先后引进端面铣工作台、数控落地铣镗床、炮塔式铣床、数控刨台卧式铣镗床等100多台加工设备，拥有飞轮静平衡装置、激光测量仪、工件清洗等装置，配备美国Radian Pro自动激光跟踪检测仪、大型三坐标测量仪、瑞士Dantsin-Trimos高精度数显测高仪、噪音测试仪等先进的研发检测设备</w:t>
      </w:r>
      <w:r>
        <w:rPr>
          <w:rFonts w:hint="eastAsia" w:ascii="仿宋" w:hAnsi="仿宋" w:eastAsia="仿宋" w:cs="仿宋"/>
          <w:b w:val="0"/>
          <w:bCs w:val="0"/>
          <w:sz w:val="28"/>
          <w:szCs w:val="28"/>
        </w:rPr>
        <w:t>，从产品设计、制造、成品的全过程都可以有限元及仿真分析、模拟试验、性能测试、可靠性试验和试车检验，</w:t>
      </w:r>
      <w:r>
        <w:rPr>
          <w:rFonts w:hint="eastAsia" w:ascii="仿宋" w:hAnsi="仿宋" w:eastAsia="仿宋" w:cs="仿宋"/>
          <w:sz w:val="28"/>
          <w:szCs w:val="28"/>
        </w:rPr>
        <w:t>保证产品</w:t>
      </w:r>
      <w:r>
        <w:rPr>
          <w:rFonts w:hint="eastAsia" w:ascii="仿宋" w:hAnsi="仿宋" w:eastAsia="仿宋" w:cs="仿宋"/>
          <w:sz w:val="28"/>
          <w:szCs w:val="28"/>
          <w:lang w:val="en-US" w:eastAsia="zh-CN"/>
        </w:rPr>
        <w:t>质量</w:t>
      </w:r>
      <w:r>
        <w:rPr>
          <w:rFonts w:hint="eastAsia" w:ascii="仿宋" w:hAnsi="仿宋" w:eastAsia="仿宋" w:cs="仿宋"/>
          <w:sz w:val="28"/>
          <w:szCs w:val="28"/>
        </w:rPr>
        <w:t>。</w:t>
      </w:r>
      <w:r>
        <w:rPr>
          <w:rFonts w:hint="eastAsia" w:ascii="仿宋" w:hAnsi="仿宋" w:eastAsia="仿宋" w:cs="仿宋"/>
          <w:sz w:val="28"/>
          <w:szCs w:val="28"/>
          <w:lang w:val="en-US" w:eastAsia="zh-CN"/>
        </w:rPr>
        <w:t>高层领导高度重视人才队伍建设和产学研合作，重视</w:t>
      </w:r>
      <w:r>
        <w:rPr>
          <w:rFonts w:hint="eastAsia" w:ascii="仿宋" w:hAnsi="仿宋" w:eastAsia="仿宋" w:cs="仿宋"/>
          <w:sz w:val="28"/>
          <w:szCs w:val="28"/>
        </w:rPr>
        <w:t>初始设计，产品</w:t>
      </w:r>
      <w:r>
        <w:rPr>
          <w:rFonts w:hint="eastAsia" w:ascii="仿宋" w:hAnsi="仿宋" w:eastAsia="仿宋" w:cs="仿宋"/>
          <w:sz w:val="28"/>
          <w:szCs w:val="28"/>
          <w:lang w:val="en-US" w:eastAsia="zh-CN"/>
        </w:rPr>
        <w:t>生产</w:t>
      </w:r>
      <w:r>
        <w:rPr>
          <w:rFonts w:hint="eastAsia" w:ascii="仿宋" w:hAnsi="仿宋" w:eastAsia="仿宋" w:cs="仿宋"/>
          <w:sz w:val="28"/>
          <w:szCs w:val="28"/>
        </w:rPr>
        <w:t>安装与维护的整个过程，用专业的技术、实践经验和创新思维来打造每个产品。</w:t>
      </w:r>
      <w:r>
        <w:rPr>
          <w:rFonts w:hint="eastAsia" w:ascii="仿宋" w:hAnsi="仿宋" w:eastAsia="仿宋" w:cs="仿宋"/>
          <w:sz w:val="28"/>
          <w:szCs w:val="28"/>
          <w:lang w:val="en-US" w:eastAsia="zh-CN"/>
        </w:rPr>
        <w:t>公司已拥有40项发明专利，48</w:t>
      </w:r>
      <w:r>
        <w:rPr>
          <w:rFonts w:hint="eastAsia" w:ascii="仿宋" w:hAnsi="仿宋" w:eastAsia="仿宋" w:cs="仿宋"/>
          <w:sz w:val="28"/>
          <w:szCs w:val="28"/>
        </w:rPr>
        <w:t>项实用新型专利，</w:t>
      </w:r>
      <w:r>
        <w:rPr>
          <w:rFonts w:hint="eastAsia" w:ascii="仿宋" w:hAnsi="仿宋" w:eastAsia="仿宋" w:cs="仿宋"/>
          <w:sz w:val="28"/>
          <w:szCs w:val="28"/>
          <w:lang w:val="en-US" w:eastAsia="zh-CN"/>
        </w:rPr>
        <w:t>3</w:t>
      </w:r>
      <w:r>
        <w:rPr>
          <w:rFonts w:hint="eastAsia" w:ascii="仿宋" w:hAnsi="仿宋" w:eastAsia="仿宋" w:cs="仿宋"/>
          <w:sz w:val="28"/>
          <w:szCs w:val="28"/>
        </w:rPr>
        <w:t>项外观设计专利</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14项软件著作权。</w:t>
      </w:r>
      <w:r>
        <w:rPr>
          <w:rFonts w:hint="eastAsia" w:ascii="仿宋" w:hAnsi="仿宋" w:eastAsia="仿宋" w:cs="仿宋"/>
          <w:kern w:val="0"/>
          <w:sz w:val="28"/>
          <w:szCs w:val="28"/>
        </w:rPr>
        <w:t>其中</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发明专利</w:t>
      </w:r>
      <w:r>
        <w:rPr>
          <w:rFonts w:hint="eastAsia" w:ascii="仿宋" w:hAnsi="仿宋" w:eastAsia="仿宋" w:cs="仿宋"/>
          <w:b w:val="0"/>
          <w:bCs w:val="0"/>
          <w:kern w:val="0"/>
          <w:sz w:val="28"/>
          <w:szCs w:val="28"/>
          <w:lang w:val="en-US" w:eastAsia="zh-CN"/>
        </w:rPr>
        <w:t>“</w:t>
      </w:r>
      <w:r>
        <w:rPr>
          <w:rFonts w:hint="eastAsia" w:ascii="仿宋" w:hAnsi="仿宋" w:eastAsia="仿宋" w:cs="仿宋"/>
          <w:b w:val="0"/>
          <w:bCs w:val="0"/>
          <w:color w:val="auto"/>
          <w:sz w:val="28"/>
          <w:szCs w:val="28"/>
          <w:vertAlign w:val="baseline"/>
          <w:lang w:val="en-US" w:eastAsia="zh-CN"/>
        </w:rPr>
        <w:t>一种曲柄压力机过载保护系统（专利号：ZL202110358558.7）”获</w:t>
      </w:r>
      <w:r>
        <w:rPr>
          <w:rFonts w:hint="eastAsia" w:ascii="仿宋" w:hAnsi="仿宋" w:eastAsia="仿宋" w:cs="仿宋"/>
          <w:kern w:val="0"/>
          <w:sz w:val="28"/>
          <w:szCs w:val="28"/>
        </w:rPr>
        <w:t>202</w:t>
      </w:r>
      <w:r>
        <w:rPr>
          <w:rFonts w:hint="eastAsia" w:ascii="仿宋" w:hAnsi="仿宋" w:eastAsia="仿宋" w:cs="仿宋"/>
          <w:kern w:val="0"/>
          <w:sz w:val="28"/>
          <w:szCs w:val="28"/>
          <w:lang w:val="en-US" w:eastAsia="zh-CN"/>
        </w:rPr>
        <w:t>4</w:t>
      </w:r>
      <w:r>
        <w:rPr>
          <w:rFonts w:hint="eastAsia" w:ascii="仿宋" w:hAnsi="仿宋" w:eastAsia="仿宋" w:cs="仿宋"/>
          <w:kern w:val="0"/>
          <w:sz w:val="28"/>
          <w:szCs w:val="28"/>
        </w:rPr>
        <w:t>年宁波市专利创新大赛专利</w:t>
      </w:r>
      <w:r>
        <w:rPr>
          <w:rFonts w:hint="eastAsia" w:ascii="仿宋" w:hAnsi="仿宋" w:eastAsia="仿宋" w:cs="仿宋"/>
          <w:kern w:val="0"/>
          <w:sz w:val="28"/>
          <w:szCs w:val="28"/>
          <w:lang w:val="en-US" w:eastAsia="zh-CN"/>
        </w:rPr>
        <w:t>银奖，</w:t>
      </w:r>
      <w:r>
        <w:rPr>
          <w:rFonts w:hint="eastAsia" w:ascii="仿宋" w:hAnsi="仿宋" w:eastAsia="仿宋" w:cs="仿宋"/>
          <w:kern w:val="0"/>
          <w:sz w:val="28"/>
          <w:szCs w:val="28"/>
        </w:rPr>
        <w:t>发明专利“一种具有双飞轮动力机构的高速精密重载冲床（专利号：ZL202110597077.1）”获2022年宁波市专利创新大赛专利优秀奖，外观设计专利“快速压力机，专利号：ZL201930043846.7”获2022年宁波市专利创新大赛外观设计优秀奖。注册商标EDPS国家知识产权局认定为驰名商标。主导/参与国家标准制订</w:t>
      </w:r>
      <w:r>
        <w:rPr>
          <w:rFonts w:hint="eastAsia" w:ascii="仿宋" w:hAnsi="仿宋" w:eastAsia="仿宋" w:cs="仿宋"/>
          <w:kern w:val="0"/>
          <w:sz w:val="28"/>
          <w:szCs w:val="28"/>
          <w:lang w:val="en-US" w:eastAsia="zh-CN"/>
        </w:rPr>
        <w:t>6</w:t>
      </w:r>
      <w:r>
        <w:rPr>
          <w:rFonts w:hint="eastAsia" w:ascii="仿宋" w:hAnsi="仿宋" w:eastAsia="仿宋" w:cs="仿宋"/>
          <w:kern w:val="0"/>
          <w:sz w:val="28"/>
          <w:szCs w:val="28"/>
        </w:rPr>
        <w:t>项，主导/参与行业标准制订7项，主持起草“浙江制造标准”3项。</w:t>
      </w:r>
    </w:p>
    <w:p w14:paraId="73126CBB">
      <w:pPr>
        <w:pStyle w:val="20"/>
        <w:keepNext w:val="0"/>
        <w:keepLines w:val="0"/>
        <w:pageBreakBefore w:val="0"/>
        <w:numPr>
          <w:ilvl w:val="0"/>
          <w:numId w:val="0"/>
        </w:numPr>
        <w:shd w:val="clear" w:color="auto" w:fill="FFFFFF" w:themeFill="background1"/>
        <w:kinsoku/>
        <w:overflowPunct/>
        <w:topLinePunct w:val="0"/>
        <w:autoSpaceDE/>
        <w:autoSpaceDN/>
        <w:bidi w:val="0"/>
        <w:adjustRightInd w:val="0"/>
        <w:snapToGrid w:val="0"/>
        <w:spacing w:line="600" w:lineRule="exact"/>
        <w:ind w:right="-313" w:rightChars="-149" w:firstLine="562" w:firstLineChars="200"/>
        <w:textAlignment w:val="auto"/>
        <w:rPr>
          <w:rFonts w:hint="eastAsia" w:ascii="仿宋" w:hAnsi="仿宋" w:eastAsia="仿宋" w:cs="仿宋"/>
          <w:b w:val="0"/>
          <w:bCs/>
          <w:snapToGrid w:val="0"/>
          <w:color w:val="0F0F0F"/>
          <w:sz w:val="28"/>
          <w:szCs w:val="28"/>
          <w:shd w:val="clear" w:color="auto" w:fill="FFFFFF" w:themeFill="background1"/>
          <w:lang w:eastAsia="zh-TW"/>
        </w:rPr>
      </w:pPr>
      <w:r>
        <w:rPr>
          <w:rFonts w:hint="eastAsia" w:ascii="仿宋" w:hAnsi="仿宋" w:eastAsia="仿宋" w:cs="仿宋"/>
          <w:b/>
          <w:bCs/>
          <w:sz w:val="28"/>
          <w:szCs w:val="28"/>
          <w:lang w:val="en-US" w:eastAsia="zh-CN"/>
        </w:rPr>
        <w:t>（2）精细管理：</w:t>
      </w:r>
      <w:r>
        <w:rPr>
          <w:rFonts w:hint="eastAsia" w:ascii="仿宋" w:hAnsi="仿宋" w:eastAsia="仿宋" w:cs="仿宋"/>
          <w:sz w:val="28"/>
          <w:szCs w:val="28"/>
          <w:lang w:val="en-US" w:eastAsia="zh-CN"/>
        </w:rPr>
        <w:t>公司主要通过信息化建设实现精细化管理。</w:t>
      </w:r>
      <w:r>
        <w:rPr>
          <w:rFonts w:hint="eastAsia" w:ascii="仿宋" w:hAnsi="仿宋" w:eastAsia="仿宋" w:cs="仿宋"/>
          <w:b w:val="0"/>
          <w:bCs w:val="0"/>
          <w:color w:val="000000"/>
          <w:kern w:val="0"/>
          <w:sz w:val="28"/>
          <w:szCs w:val="28"/>
          <w:lang w:val="en-US" w:eastAsia="zh-CN"/>
        </w:rPr>
        <w:t>2018年投入38.78万元建成PDM管理系统，主要应用于BOM的编制以及图文档的管理并投入使用。</w:t>
      </w:r>
      <w:r>
        <w:rPr>
          <w:rFonts w:hint="eastAsia" w:ascii="仿宋" w:hAnsi="仿宋" w:eastAsia="仿宋" w:cs="仿宋"/>
          <w:color w:val="000000" w:themeColor="text1"/>
          <w:sz w:val="28"/>
          <w:szCs w:val="28"/>
          <w:lang w:val="en-US" w:eastAsia="zh-CN"/>
          <w14:textFill>
            <w14:solidFill>
              <w14:schemeClr w14:val="tx1"/>
            </w14:solidFill>
          </w14:textFill>
        </w:rPr>
        <w:t>2020年3月，公司聘请“龙行天下企业管理咨询公司”开展数据化工厂项目建设三年辅导，辅导经费56万元，重点打造“体系流程标准化、PMC生产计划与物料管控、精益日常管理班组建设、精益现场6S标准化建设”。为数字化赋能精准的基础数据。</w:t>
      </w:r>
      <w:r>
        <w:rPr>
          <w:rFonts w:hint="eastAsia" w:ascii="仿宋" w:hAnsi="仿宋" w:eastAsia="仿宋" w:cs="仿宋"/>
          <w:b w:val="0"/>
          <w:bCs w:val="0"/>
          <w:i w:val="0"/>
          <w:caps w:val="0"/>
          <w:color w:val="444444"/>
          <w:spacing w:val="0"/>
          <w:kern w:val="0"/>
          <w:sz w:val="28"/>
          <w:szCs w:val="28"/>
          <w:shd w:val="clear" w:color="auto" w:fill="FFFFFF"/>
          <w:vertAlign w:val="baseline"/>
          <w:lang w:val="en-US" w:eastAsia="zh-CN" w:bidi="ar"/>
        </w:rPr>
        <w:t>2019年，与</w:t>
      </w:r>
      <w:r>
        <w:rPr>
          <w:rFonts w:hint="eastAsia" w:ascii="仿宋" w:hAnsi="仿宋" w:eastAsia="仿宋" w:cs="仿宋"/>
          <w:b w:val="0"/>
          <w:bCs w:val="0"/>
          <w:sz w:val="28"/>
          <w:szCs w:val="28"/>
          <w:lang w:val="en-US" w:eastAsia="zh-CN"/>
        </w:rPr>
        <w:t>浙江万里学院、</w:t>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HYPERLINK "http://www.baidu.com/link?url=okiqUhOM3L2kjrigI3Pm95r8RM15oftNoMESPdwFPzO" \t "_blank"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上海繁易信息科技股份有限公司</w:t>
      </w:r>
      <w:r>
        <w:rPr>
          <w:rFonts w:hint="eastAsia" w:ascii="仿宋" w:hAnsi="仿宋" w:eastAsia="仿宋" w:cs="仿宋"/>
          <w:b w:val="0"/>
          <w:bCs w:val="0"/>
          <w:sz w:val="28"/>
          <w:szCs w:val="28"/>
        </w:rPr>
        <w:fldChar w:fldCharType="end"/>
      </w:r>
      <w:r>
        <w:rPr>
          <w:rFonts w:hint="eastAsia" w:ascii="仿宋" w:hAnsi="仿宋" w:eastAsia="仿宋" w:cs="仿宋"/>
          <w:b w:val="0"/>
          <w:bCs w:val="0"/>
          <w:sz w:val="28"/>
          <w:szCs w:val="28"/>
          <w:lang w:val="en-US" w:eastAsia="zh-CN"/>
        </w:rPr>
        <w:t>共同开发智能压力机远程监测和管理系统，</w:t>
      </w:r>
      <w:r>
        <w:rPr>
          <w:rFonts w:hint="eastAsia" w:ascii="仿宋" w:hAnsi="仿宋" w:eastAsia="仿宋" w:cs="仿宋"/>
          <w:b w:val="0"/>
          <w:bCs w:val="0"/>
          <w:i w:val="0"/>
          <w:caps w:val="0"/>
          <w:color w:val="444444"/>
          <w:spacing w:val="0"/>
          <w:kern w:val="0"/>
          <w:sz w:val="28"/>
          <w:szCs w:val="28"/>
          <w:shd w:val="clear" w:color="auto" w:fill="FFFFFF"/>
          <w:vertAlign w:val="baseline"/>
          <w:lang w:val="en-US" w:eastAsia="zh-CN" w:bidi="ar"/>
        </w:rPr>
        <w:t>共投入25万元</w:t>
      </w:r>
      <w:r>
        <w:rPr>
          <w:rFonts w:hint="eastAsia" w:ascii="仿宋" w:hAnsi="仿宋" w:eastAsia="仿宋" w:cs="仿宋"/>
          <w:b w:val="0"/>
          <w:bCs w:val="0"/>
          <w:sz w:val="28"/>
          <w:szCs w:val="28"/>
          <w:lang w:val="en-US" w:eastAsia="zh-CN"/>
        </w:rPr>
        <w:t>，该系统</w:t>
      </w:r>
      <w:r>
        <w:rPr>
          <w:rFonts w:hint="eastAsia" w:ascii="仿宋" w:hAnsi="仿宋" w:eastAsia="仿宋" w:cs="仿宋"/>
          <w:b w:val="0"/>
          <w:bCs w:val="0"/>
          <w:color w:val="000000"/>
          <w:spacing w:val="-12"/>
          <w:sz w:val="28"/>
          <w:szCs w:val="28"/>
          <w:lang w:val="en-US" w:eastAsia="zh-CN"/>
        </w:rPr>
        <w:t>主要功能是</w:t>
      </w:r>
      <w:r>
        <w:rPr>
          <w:rStyle w:val="19"/>
          <w:rFonts w:hint="eastAsia" w:ascii="仿宋" w:hAnsi="仿宋" w:eastAsia="仿宋" w:cs="仿宋"/>
          <w:b w:val="0"/>
          <w:bCs w:val="0"/>
          <w:i w:val="0"/>
          <w:caps w:val="0"/>
          <w:color w:val="000000"/>
          <w:spacing w:val="8"/>
          <w:sz w:val="28"/>
          <w:szCs w:val="28"/>
          <w:shd w:val="clear" w:color="auto" w:fill="FFFFFF"/>
        </w:rPr>
        <w:t>客户数据分析</w:t>
      </w:r>
      <w:r>
        <w:rPr>
          <w:rStyle w:val="19"/>
          <w:rFonts w:hint="eastAsia" w:ascii="仿宋" w:hAnsi="仿宋" w:eastAsia="仿宋" w:cs="仿宋"/>
          <w:b w:val="0"/>
          <w:bCs w:val="0"/>
          <w:i w:val="0"/>
          <w:caps w:val="0"/>
          <w:color w:val="000000"/>
          <w:spacing w:val="8"/>
          <w:sz w:val="28"/>
          <w:szCs w:val="28"/>
          <w:shd w:val="clear" w:color="auto" w:fill="FFFFFF"/>
          <w:lang w:eastAsia="zh-CN"/>
        </w:rPr>
        <w:t>、</w:t>
      </w:r>
      <w:r>
        <w:rPr>
          <w:rStyle w:val="19"/>
          <w:rFonts w:hint="eastAsia" w:ascii="仿宋" w:hAnsi="仿宋" w:eastAsia="仿宋" w:cs="仿宋"/>
          <w:b w:val="0"/>
          <w:bCs w:val="0"/>
          <w:i w:val="0"/>
          <w:caps w:val="0"/>
          <w:color w:val="000000"/>
          <w:spacing w:val="8"/>
          <w:sz w:val="28"/>
          <w:szCs w:val="28"/>
          <w:shd w:val="clear" w:color="auto" w:fill="FFFFFF"/>
        </w:rPr>
        <w:t>实时显示设备运行状态</w:t>
      </w:r>
      <w:r>
        <w:rPr>
          <w:rStyle w:val="19"/>
          <w:rFonts w:hint="eastAsia" w:ascii="仿宋" w:hAnsi="仿宋" w:eastAsia="仿宋" w:cs="仿宋"/>
          <w:b w:val="0"/>
          <w:bCs w:val="0"/>
          <w:i w:val="0"/>
          <w:caps w:val="0"/>
          <w:color w:val="000000"/>
          <w:spacing w:val="8"/>
          <w:sz w:val="28"/>
          <w:szCs w:val="28"/>
          <w:shd w:val="clear" w:color="auto" w:fill="FFFFFF"/>
          <w:lang w:eastAsia="zh-CN"/>
        </w:rPr>
        <w:t>、</w:t>
      </w:r>
      <w:r>
        <w:rPr>
          <w:rStyle w:val="19"/>
          <w:rFonts w:hint="eastAsia" w:ascii="仿宋" w:hAnsi="仿宋" w:eastAsia="仿宋" w:cs="仿宋"/>
          <w:b w:val="0"/>
          <w:bCs w:val="0"/>
          <w:i w:val="0"/>
          <w:caps w:val="0"/>
          <w:color w:val="000000"/>
          <w:spacing w:val="8"/>
          <w:sz w:val="28"/>
          <w:szCs w:val="28"/>
          <w:shd w:val="clear" w:color="auto" w:fill="FFFFFF"/>
        </w:rPr>
        <w:t>预测设备故障</w:t>
      </w:r>
      <w:r>
        <w:rPr>
          <w:rStyle w:val="19"/>
          <w:rFonts w:hint="eastAsia" w:ascii="仿宋" w:hAnsi="仿宋" w:eastAsia="仿宋" w:cs="仿宋"/>
          <w:b w:val="0"/>
          <w:bCs w:val="0"/>
          <w:i w:val="0"/>
          <w:caps w:val="0"/>
          <w:color w:val="000000"/>
          <w:spacing w:val="8"/>
          <w:sz w:val="28"/>
          <w:szCs w:val="28"/>
          <w:shd w:val="clear" w:color="auto" w:fill="FFFFFF"/>
          <w:lang w:eastAsia="zh-CN"/>
        </w:rPr>
        <w:t>、</w:t>
      </w:r>
      <w:r>
        <w:rPr>
          <w:rStyle w:val="19"/>
          <w:rFonts w:hint="eastAsia" w:ascii="仿宋" w:hAnsi="仿宋" w:eastAsia="仿宋" w:cs="仿宋"/>
          <w:b w:val="0"/>
          <w:bCs w:val="0"/>
          <w:i w:val="0"/>
          <w:caps w:val="0"/>
          <w:color w:val="000000"/>
          <w:spacing w:val="8"/>
          <w:sz w:val="28"/>
          <w:szCs w:val="28"/>
          <w:shd w:val="clear" w:color="auto" w:fill="FFFFFF"/>
        </w:rPr>
        <w:t>完善设备档案</w:t>
      </w:r>
      <w:r>
        <w:rPr>
          <w:rStyle w:val="19"/>
          <w:rFonts w:hint="eastAsia" w:ascii="仿宋" w:hAnsi="仿宋" w:eastAsia="仿宋" w:cs="仿宋"/>
          <w:b w:val="0"/>
          <w:bCs w:val="0"/>
          <w:i w:val="0"/>
          <w:caps w:val="0"/>
          <w:color w:val="000000"/>
          <w:spacing w:val="8"/>
          <w:sz w:val="28"/>
          <w:szCs w:val="28"/>
          <w:shd w:val="clear" w:color="auto" w:fill="FFFFFF"/>
          <w:lang w:eastAsia="zh-CN"/>
        </w:rPr>
        <w:t>、</w:t>
      </w:r>
      <w:r>
        <w:rPr>
          <w:rStyle w:val="19"/>
          <w:rFonts w:hint="eastAsia" w:ascii="仿宋" w:hAnsi="仿宋" w:eastAsia="仿宋" w:cs="仿宋"/>
          <w:b w:val="0"/>
          <w:bCs w:val="0"/>
          <w:i w:val="0"/>
          <w:caps w:val="0"/>
          <w:color w:val="000000"/>
          <w:spacing w:val="8"/>
          <w:sz w:val="28"/>
          <w:szCs w:val="28"/>
          <w:shd w:val="clear" w:color="auto" w:fill="FFFFFF"/>
        </w:rPr>
        <w:t>设置用户权限并进行用户管理</w:t>
      </w:r>
      <w:r>
        <w:rPr>
          <w:rStyle w:val="19"/>
          <w:rFonts w:hint="eastAsia" w:ascii="仿宋" w:hAnsi="仿宋" w:eastAsia="仿宋" w:cs="仿宋"/>
          <w:b w:val="0"/>
          <w:bCs w:val="0"/>
          <w:i w:val="0"/>
          <w:caps w:val="0"/>
          <w:color w:val="000000"/>
          <w:spacing w:val="8"/>
          <w:sz w:val="28"/>
          <w:szCs w:val="28"/>
          <w:shd w:val="clear" w:color="auto" w:fill="FFFFFF"/>
          <w:lang w:eastAsia="zh-CN"/>
        </w:rPr>
        <w:t>。</w:t>
      </w:r>
      <w:r>
        <w:rPr>
          <w:rFonts w:hint="eastAsia" w:ascii="仿宋" w:hAnsi="仿宋" w:eastAsia="仿宋" w:cs="仿宋"/>
          <w:b w:val="0"/>
          <w:bCs w:val="0"/>
          <w:i w:val="0"/>
          <w:caps w:val="0"/>
          <w:color w:val="000000" w:themeColor="text1"/>
          <w:spacing w:val="0"/>
          <w:sz w:val="28"/>
          <w:szCs w:val="28"/>
          <w:shd w:val="clear" w:color="auto" w:fill="FFFFFF"/>
          <w:vertAlign w:val="baseline"/>
          <w:lang w:val="en-US" w:eastAsia="zh-CN"/>
          <w14:textFill>
            <w14:solidFill>
              <w14:schemeClr w14:val="tx1"/>
            </w14:solidFill>
          </w14:textFill>
        </w:rPr>
        <w:t>2022年1月与</w:t>
      </w:r>
      <w:r>
        <w:rPr>
          <w:rFonts w:hint="eastAsia" w:ascii="仿宋" w:hAnsi="仿宋" w:eastAsia="仿宋" w:cs="仿宋"/>
          <w:snapToGrid w:val="0"/>
          <w:color w:val="0F0F0F"/>
          <w:sz w:val="28"/>
          <w:szCs w:val="28"/>
          <w:shd w:val="clear" w:color="auto" w:fill="FFFFFF" w:themeFill="background1"/>
        </w:rPr>
        <w:t>武汉智群企业管理咨询有限公司</w:t>
      </w:r>
      <w:r>
        <w:rPr>
          <w:rFonts w:hint="eastAsia" w:ascii="仿宋" w:hAnsi="仿宋" w:eastAsia="仿宋" w:cs="仿宋"/>
          <w:snapToGrid w:val="0"/>
          <w:color w:val="0F0F0F"/>
          <w:sz w:val="28"/>
          <w:szCs w:val="28"/>
          <w:shd w:val="clear" w:color="auto" w:fill="FFFFFF" w:themeFill="background1"/>
          <w:lang w:val="en-US" w:eastAsia="zh-CN"/>
        </w:rPr>
        <w:t>签订</w:t>
      </w:r>
      <w:r>
        <w:rPr>
          <w:rFonts w:hint="eastAsia" w:ascii="仿宋" w:hAnsi="仿宋" w:eastAsia="仿宋" w:cs="仿宋"/>
          <w:b w:val="0"/>
          <w:bCs/>
          <w:snapToGrid w:val="0"/>
          <w:color w:val="0F0F0F"/>
          <w:sz w:val="28"/>
          <w:szCs w:val="28"/>
          <w:shd w:val="clear" w:color="auto" w:fill="FFFFFF" w:themeFill="background1"/>
        </w:rPr>
        <w:t>数字化工厂管理软件开发合同</w:t>
      </w:r>
      <w:r>
        <w:rPr>
          <w:rFonts w:hint="eastAsia" w:ascii="仿宋" w:hAnsi="仿宋" w:eastAsia="仿宋" w:cs="仿宋"/>
          <w:b w:val="0"/>
          <w:bCs/>
          <w:snapToGrid w:val="0"/>
          <w:color w:val="0F0F0F"/>
          <w:sz w:val="28"/>
          <w:szCs w:val="28"/>
          <w:shd w:val="clear" w:color="auto" w:fill="FFFFFF" w:themeFill="background1"/>
          <w:lang w:eastAsia="zh-CN"/>
        </w:rPr>
        <w:t>，</w:t>
      </w:r>
      <w:r>
        <w:rPr>
          <w:rFonts w:hint="eastAsia" w:ascii="仿宋" w:hAnsi="仿宋" w:eastAsia="仿宋" w:cs="仿宋"/>
          <w:b w:val="0"/>
          <w:bCs/>
          <w:snapToGrid w:val="0"/>
          <w:color w:val="0F0F0F"/>
          <w:sz w:val="28"/>
          <w:szCs w:val="28"/>
          <w:shd w:val="clear" w:color="auto" w:fill="FFFFFF" w:themeFill="background1"/>
          <w:lang w:val="en-US" w:eastAsia="zh-CN"/>
        </w:rPr>
        <w:t>投入资金140万元，主要内容包括</w:t>
      </w:r>
      <w:r>
        <w:rPr>
          <w:rFonts w:hint="eastAsia" w:ascii="仿宋" w:hAnsi="仿宋" w:eastAsia="仿宋" w:cs="仿宋"/>
          <w:b w:val="0"/>
          <w:bCs/>
          <w:snapToGrid w:val="0"/>
          <w:color w:val="0F0F0F"/>
          <w:sz w:val="28"/>
          <w:szCs w:val="28"/>
          <w:shd w:val="clear" w:color="auto" w:fill="FFFFFF" w:themeFill="background1"/>
        </w:rPr>
        <w:t>生产计划排程管理</w:t>
      </w:r>
      <w:r>
        <w:rPr>
          <w:rFonts w:hint="eastAsia" w:ascii="仿宋" w:hAnsi="仿宋" w:eastAsia="仿宋" w:cs="仿宋"/>
          <w:b w:val="0"/>
          <w:bCs/>
          <w:snapToGrid w:val="0"/>
          <w:color w:val="0F0F0F"/>
          <w:sz w:val="28"/>
          <w:szCs w:val="28"/>
          <w:shd w:val="clear" w:color="auto" w:fill="FFFFFF" w:themeFill="background1"/>
          <w:lang w:eastAsia="zh-CN"/>
        </w:rPr>
        <w:t>、</w:t>
      </w:r>
      <w:r>
        <w:rPr>
          <w:rFonts w:hint="eastAsia" w:ascii="仿宋" w:hAnsi="仿宋" w:eastAsia="仿宋" w:cs="仿宋"/>
          <w:b w:val="0"/>
          <w:bCs/>
          <w:snapToGrid w:val="0"/>
          <w:color w:val="0F0F0F"/>
          <w:sz w:val="28"/>
          <w:szCs w:val="28"/>
          <w:shd w:val="clear" w:color="auto" w:fill="FFFFFF" w:themeFill="background1"/>
        </w:rPr>
        <w:t>供应链管理</w:t>
      </w:r>
      <w:r>
        <w:rPr>
          <w:rFonts w:hint="eastAsia" w:ascii="仿宋" w:hAnsi="仿宋" w:eastAsia="仿宋" w:cs="仿宋"/>
          <w:b w:val="0"/>
          <w:bCs/>
          <w:snapToGrid w:val="0"/>
          <w:color w:val="0F0F0F"/>
          <w:sz w:val="28"/>
          <w:szCs w:val="28"/>
          <w:shd w:val="clear" w:color="auto" w:fill="FFFFFF" w:themeFill="background1"/>
          <w:lang w:eastAsia="zh-CN"/>
        </w:rPr>
        <w:t>、</w:t>
      </w:r>
      <w:r>
        <w:rPr>
          <w:rFonts w:hint="eastAsia" w:ascii="仿宋" w:hAnsi="仿宋" w:eastAsia="仿宋" w:cs="仿宋"/>
          <w:b w:val="0"/>
          <w:bCs/>
          <w:snapToGrid w:val="0"/>
          <w:color w:val="0F0F0F"/>
          <w:sz w:val="28"/>
          <w:szCs w:val="28"/>
          <w:shd w:val="clear" w:color="auto" w:fill="FFFFFF" w:themeFill="background1"/>
        </w:rPr>
        <w:t>精益生产现场及仓储管理</w:t>
      </w:r>
      <w:r>
        <w:rPr>
          <w:rFonts w:hint="eastAsia" w:ascii="仿宋" w:hAnsi="仿宋" w:eastAsia="仿宋" w:cs="仿宋"/>
          <w:b w:val="0"/>
          <w:bCs/>
          <w:snapToGrid w:val="0"/>
          <w:color w:val="0F0F0F"/>
          <w:sz w:val="28"/>
          <w:szCs w:val="28"/>
          <w:shd w:val="clear" w:color="auto" w:fill="FFFFFF" w:themeFill="background1"/>
          <w:lang w:eastAsia="zh-CN"/>
        </w:rPr>
        <w:t>、</w:t>
      </w:r>
      <w:r>
        <w:rPr>
          <w:rFonts w:hint="eastAsia" w:ascii="仿宋" w:hAnsi="仿宋" w:eastAsia="仿宋" w:cs="仿宋"/>
          <w:b w:val="0"/>
          <w:bCs/>
          <w:snapToGrid w:val="0"/>
          <w:color w:val="0F0F0F"/>
          <w:sz w:val="28"/>
          <w:szCs w:val="28"/>
          <w:shd w:val="clear" w:color="auto" w:fill="FFFFFF" w:themeFill="background1"/>
        </w:rPr>
        <w:t>精益质量改善管理</w:t>
      </w:r>
      <w:r>
        <w:rPr>
          <w:rFonts w:hint="eastAsia" w:ascii="仿宋" w:hAnsi="仿宋" w:eastAsia="仿宋" w:cs="仿宋"/>
          <w:b w:val="0"/>
          <w:bCs/>
          <w:snapToGrid w:val="0"/>
          <w:color w:val="0F0F0F"/>
          <w:sz w:val="28"/>
          <w:szCs w:val="28"/>
          <w:shd w:val="clear" w:color="auto" w:fill="FFFFFF" w:themeFill="background1"/>
          <w:lang w:eastAsia="zh-CN"/>
        </w:rPr>
        <w:t>、</w:t>
      </w:r>
      <w:r>
        <w:rPr>
          <w:rFonts w:hint="eastAsia" w:ascii="仿宋" w:hAnsi="仿宋" w:eastAsia="仿宋" w:cs="仿宋"/>
          <w:b w:val="0"/>
          <w:bCs/>
          <w:snapToGrid w:val="0"/>
          <w:color w:val="0F0F0F"/>
          <w:sz w:val="28"/>
          <w:szCs w:val="28"/>
          <w:shd w:val="clear" w:color="auto" w:fill="FFFFFF" w:themeFill="background1"/>
        </w:rPr>
        <w:t>流程再造管理改善</w:t>
      </w:r>
      <w:r>
        <w:rPr>
          <w:rFonts w:hint="eastAsia" w:ascii="仿宋" w:hAnsi="仿宋" w:eastAsia="仿宋" w:cs="仿宋"/>
          <w:b w:val="0"/>
          <w:bCs/>
          <w:snapToGrid w:val="0"/>
          <w:color w:val="0F0F0F"/>
          <w:sz w:val="28"/>
          <w:szCs w:val="28"/>
          <w:shd w:val="clear" w:color="auto" w:fill="FFFFFF" w:themeFill="background1"/>
          <w:lang w:eastAsia="zh-CN"/>
        </w:rPr>
        <w:t>、</w:t>
      </w:r>
      <w:r>
        <w:rPr>
          <w:rFonts w:hint="eastAsia" w:ascii="仿宋" w:hAnsi="仿宋" w:eastAsia="仿宋" w:cs="仿宋"/>
          <w:b w:val="0"/>
          <w:bCs/>
          <w:snapToGrid w:val="0"/>
          <w:color w:val="0F0F0F"/>
          <w:sz w:val="28"/>
          <w:szCs w:val="28"/>
          <w:shd w:val="clear" w:color="auto" w:fill="FFFFFF" w:themeFill="background1"/>
        </w:rPr>
        <w:t>目标与KIP绩效管理</w:t>
      </w:r>
      <w:r>
        <w:rPr>
          <w:rFonts w:hint="eastAsia" w:ascii="仿宋" w:hAnsi="仿宋" w:eastAsia="仿宋" w:cs="仿宋"/>
          <w:b w:val="0"/>
          <w:bCs/>
          <w:snapToGrid w:val="0"/>
          <w:color w:val="0F0F0F"/>
          <w:sz w:val="28"/>
          <w:szCs w:val="28"/>
          <w:shd w:val="clear" w:color="auto" w:fill="FFFFFF" w:themeFill="background1"/>
          <w:lang w:eastAsia="zh-CN"/>
        </w:rPr>
        <w:t>。</w:t>
      </w:r>
      <w:r>
        <w:rPr>
          <w:rFonts w:hint="eastAsia" w:ascii="仿宋" w:hAnsi="仿宋" w:eastAsia="仿宋" w:cs="仿宋"/>
          <w:b w:val="0"/>
          <w:bCs/>
          <w:snapToGrid w:val="0"/>
          <w:color w:val="0F0F0F"/>
          <w:sz w:val="28"/>
          <w:szCs w:val="28"/>
          <w:shd w:val="clear" w:color="auto" w:fill="FFFFFF" w:themeFill="background1"/>
          <w:lang w:val="en-US" w:eastAsia="zh-CN"/>
        </w:rPr>
        <w:t>2022年8月公司与中国联合网络通讯有限公司宁波分公司签订了5G+工业互联网服务建设合同。投入资金21.3万元。建设内容包括构建基于5G网络的企业内网架构，建设5G+AI智能分析平台、5G+AR远程辅助、5G+设备数采等内容，现已投入运行并通过验收。2023年3月与浙江用安软件有限公司签订用友软件使用销售合同，投入资金40万元，实现财务会计、管理会计、供应链、生产制造等财务管理数字化。</w:t>
      </w:r>
      <w:r>
        <w:rPr>
          <w:rFonts w:hint="eastAsia" w:ascii="仿宋" w:hAnsi="仿宋" w:eastAsia="仿宋" w:cs="仿宋"/>
          <w:b w:val="0"/>
          <w:bCs/>
          <w:snapToGrid w:val="0"/>
          <w:color w:val="0F0F0F"/>
          <w:sz w:val="28"/>
          <w:szCs w:val="28"/>
          <w:highlight w:val="none"/>
          <w:shd w:val="clear" w:color="auto" w:fill="FFFFFF" w:themeFill="background1"/>
          <w:lang w:val="en-US" w:eastAsia="zh-CN"/>
        </w:rPr>
        <w:t>2024年厂区网络建设及数字工厂项目改造约42万元，网络安全改造约15万元，网络升级7万元，基于物联网的冲压机数据通信技术开发12万元，计算机采购约10万元 ，上云等通讯费用3万元，合计89万元 。</w:t>
      </w:r>
      <w:r>
        <w:rPr>
          <w:rFonts w:hint="eastAsia" w:ascii="仿宋" w:hAnsi="仿宋" w:eastAsia="仿宋" w:cs="仿宋"/>
          <w:b w:val="0"/>
          <w:bCs/>
          <w:snapToGrid w:val="0"/>
          <w:color w:val="0F0F0F"/>
          <w:sz w:val="28"/>
          <w:szCs w:val="28"/>
          <w:shd w:val="clear" w:color="auto" w:fill="FFFFFF" w:themeFill="background1"/>
          <w:lang w:val="en-US" w:eastAsia="zh-CN"/>
        </w:rPr>
        <w:t>公司信息化建设的整体目标是应用大数据、人工智能、5G+等互联网创新技术，实现由传统制造向数字化设计、智能化生产、智慧化管理、协同化制造、绿色化制造和安全化管控的巨大转型，实现对销售、研发、生产、售后的全程控制和跟踪，实现成本控制精细化，经济效益最大化。</w:t>
      </w:r>
    </w:p>
    <w:p w14:paraId="00C32D1A">
      <w:pPr>
        <w:keepNext w:val="0"/>
        <w:keepLines w:val="0"/>
        <w:pageBreakBefore w:val="0"/>
        <w:numPr>
          <w:ilvl w:val="0"/>
          <w:numId w:val="0"/>
        </w:numPr>
        <w:kinsoku/>
        <w:overflowPunct/>
        <w:topLinePunct w:val="0"/>
        <w:autoSpaceDE/>
        <w:autoSpaceDN/>
        <w:bidi w:val="0"/>
        <w:adjustRightInd/>
        <w:snapToGrid/>
        <w:spacing w:line="600" w:lineRule="exact"/>
        <w:ind w:right="-313" w:rightChars="-149"/>
        <w:textAlignment w:val="auto"/>
        <w:rPr>
          <w:rFonts w:hint="eastAsia" w:ascii="仿宋" w:hAnsi="仿宋" w:eastAsia="仿宋" w:cs="仿宋"/>
          <w:b w:val="0"/>
          <w:bCs w:val="0"/>
          <w:color w:val="000000" w:themeColor="text1"/>
          <w:sz w:val="28"/>
          <w:szCs w:val="28"/>
          <w:vertAlign w:val="baseline"/>
          <w:lang w:val="en-US" w:eastAsia="zh-CN"/>
          <w14:textFill>
            <w14:solidFill>
              <w14:schemeClr w14:val="tx1"/>
            </w14:solidFill>
          </w14:textFill>
        </w:rPr>
      </w:pPr>
      <w:r>
        <w:rPr>
          <w:rStyle w:val="19"/>
          <w:rFonts w:hint="eastAsia" w:ascii="仿宋" w:hAnsi="仿宋" w:eastAsia="仿宋" w:cs="仿宋"/>
          <w:b w:val="0"/>
          <w:bCs w:val="0"/>
          <w:i w:val="0"/>
          <w:caps w:val="0"/>
          <w:color w:val="000000"/>
          <w:spacing w:val="8"/>
          <w:sz w:val="28"/>
          <w:szCs w:val="28"/>
          <w:shd w:val="clear" w:color="auto" w:fill="FFFFFF"/>
          <w:lang w:val="en-US" w:eastAsia="zh-CN"/>
        </w:rPr>
        <w:t xml:space="preserve">   </w:t>
      </w:r>
      <w:r>
        <w:rPr>
          <w:rStyle w:val="19"/>
          <w:rFonts w:hint="eastAsia" w:ascii="仿宋" w:hAnsi="仿宋" w:eastAsia="仿宋" w:cs="仿宋"/>
          <w:b/>
          <w:bCs/>
          <w:i w:val="0"/>
          <w:caps w:val="0"/>
          <w:color w:val="000000"/>
          <w:spacing w:val="8"/>
          <w:sz w:val="28"/>
          <w:szCs w:val="28"/>
          <w:shd w:val="clear" w:color="auto" w:fill="FFFFFF"/>
          <w:lang w:val="en-US" w:eastAsia="zh-CN"/>
        </w:rPr>
        <w:t>（3）精准服务。</w:t>
      </w:r>
      <w:r>
        <w:rPr>
          <w:rFonts w:hint="eastAsia" w:ascii="仿宋" w:hAnsi="仿宋" w:eastAsia="仿宋" w:cs="仿宋"/>
          <w:b w:val="0"/>
          <w:bCs w:val="0"/>
          <w:color w:val="000000" w:themeColor="text1"/>
          <w:sz w:val="28"/>
          <w:szCs w:val="28"/>
          <w:vertAlign w:val="baseline"/>
          <w:lang w:val="en-US" w:eastAsia="zh-CN"/>
          <w14:textFill>
            <w14:solidFill>
              <w14:schemeClr w14:val="tx1"/>
            </w14:solidFill>
          </w14:textFill>
        </w:rPr>
        <w:t>公司上下坚持“客户为体、创新为用、固守正道、合作共赢”的核心价值观，实现售前、售中、售后全过程精准服务</w:t>
      </w:r>
      <w:r>
        <w:rPr>
          <w:rFonts w:hint="eastAsia" w:ascii="仿宋" w:hAnsi="仿宋" w:eastAsia="仿宋" w:cs="仿宋"/>
          <w:sz w:val="28"/>
          <w:szCs w:val="28"/>
        </w:rPr>
        <w:t>。</w:t>
      </w:r>
      <w:r>
        <w:rPr>
          <w:rFonts w:hint="eastAsia" w:ascii="仿宋" w:hAnsi="仿宋" w:eastAsia="仿宋" w:cs="仿宋"/>
          <w:b w:val="0"/>
          <w:bCs w:val="0"/>
          <w:i w:val="0"/>
          <w:iCs w:val="0"/>
          <w:caps w:val="0"/>
          <w:color w:val="333333"/>
          <w:spacing w:val="0"/>
          <w:sz w:val="28"/>
          <w:szCs w:val="28"/>
          <w:shd w:val="clear" w:fill="FFFFFF"/>
          <w:lang w:val="en-US" w:eastAsia="zh-CN"/>
        </w:rPr>
        <w:t>一</w:t>
      </w:r>
      <w:r>
        <w:rPr>
          <w:rFonts w:hint="eastAsia" w:ascii="仿宋" w:hAnsi="仿宋" w:eastAsia="仿宋" w:cs="仿宋"/>
          <w:b w:val="0"/>
          <w:bCs w:val="0"/>
          <w:color w:val="000000"/>
          <w:sz w:val="28"/>
          <w:szCs w:val="28"/>
          <w:lang w:val="en-US" w:eastAsia="zh-CN"/>
        </w:rPr>
        <w:t>是</w:t>
      </w:r>
      <w:r>
        <w:rPr>
          <w:rFonts w:hint="eastAsia" w:ascii="仿宋" w:hAnsi="仿宋" w:eastAsia="仿宋" w:cs="仿宋"/>
          <w:b w:val="0"/>
          <w:bCs w:val="0"/>
          <w:color w:val="000000" w:themeColor="text1"/>
          <w:sz w:val="28"/>
          <w:szCs w:val="28"/>
          <w:vertAlign w:val="baseline"/>
          <w:lang w:val="en-US" w:eastAsia="zh-CN"/>
          <w14:textFill>
            <w14:solidFill>
              <w14:schemeClr w14:val="tx1"/>
            </w14:solidFill>
          </w14:textFill>
        </w:rPr>
        <w:t>关注潜在客户需求，以售前技术服务赢客户。</w:t>
      </w:r>
      <w:r>
        <w:rPr>
          <w:rFonts w:hint="eastAsia" w:ascii="仿宋" w:hAnsi="仿宋" w:eastAsia="仿宋" w:cs="仿宋"/>
          <w:b w:val="0"/>
          <w:bCs w:val="0"/>
          <w:color w:val="000000" w:themeColor="text1"/>
          <w:sz w:val="28"/>
          <w:szCs w:val="28"/>
          <w:lang w:val="en-US" w:eastAsia="zh-CN"/>
          <w14:textFill>
            <w14:solidFill>
              <w14:schemeClr w14:val="tx1"/>
            </w14:solidFill>
          </w14:textFill>
        </w:rPr>
        <w:t>针对许多企业更需求一种方案集成的交钥匙工程，企业大量的技术人员需要直接深入走向市场、客户，成为成套方案的操盘手，是特色生产线解决方案制定者，为提供各种针对行业或产品专用特色生产解决方案和产品服务。</w:t>
      </w:r>
      <w:r>
        <w:rPr>
          <w:rFonts w:hint="eastAsia" w:ascii="仿宋" w:hAnsi="仿宋" w:eastAsia="仿宋" w:cs="仿宋"/>
          <w:b w:val="0"/>
          <w:bCs w:val="0"/>
          <w:sz w:val="28"/>
          <w:szCs w:val="28"/>
          <w:lang w:val="en-US" w:eastAsia="zh-CN"/>
        </w:rPr>
        <w:t>二是围绕客户产品需求依标生产，扎实做好售中服务</w:t>
      </w:r>
      <w:r>
        <w:rPr>
          <w:rFonts w:hint="eastAsia" w:ascii="仿宋" w:hAnsi="仿宋" w:eastAsia="仿宋" w:cs="仿宋"/>
          <w:b w:val="0"/>
          <w:bCs w:val="0"/>
          <w:color w:val="333333"/>
          <w:sz w:val="28"/>
          <w:szCs w:val="28"/>
          <w:shd w:val="clear" w:color="auto" w:fill="FFFFFF"/>
        </w:rPr>
        <w:t>。</w:t>
      </w:r>
      <w:r>
        <w:rPr>
          <w:rFonts w:hint="eastAsia" w:ascii="仿宋" w:hAnsi="仿宋" w:eastAsia="仿宋" w:cs="仿宋"/>
          <w:b w:val="0"/>
          <w:bCs w:val="0"/>
          <w:color w:val="333333"/>
          <w:sz w:val="28"/>
          <w:szCs w:val="28"/>
          <w:shd w:val="clear" w:color="auto" w:fill="FFFFFF"/>
          <w:lang w:val="en-US" w:eastAsia="zh-CN"/>
        </w:rPr>
        <w:t>公司坚持</w:t>
      </w:r>
      <w:r>
        <w:rPr>
          <w:rFonts w:hint="eastAsia" w:ascii="仿宋" w:hAnsi="仿宋" w:eastAsia="仿宋" w:cs="仿宋"/>
          <w:b w:val="0"/>
          <w:bCs w:val="0"/>
          <w:color w:val="000000"/>
          <w:sz w:val="28"/>
          <w:szCs w:val="28"/>
        </w:rPr>
        <w:t>依标生产、服务和管理</w:t>
      </w:r>
      <w:r>
        <w:rPr>
          <w:rFonts w:hint="eastAsia" w:ascii="仿宋" w:hAnsi="仿宋" w:eastAsia="仿宋" w:cs="仿宋"/>
          <w:b w:val="0"/>
          <w:bCs w:val="0"/>
          <w:color w:val="000000"/>
          <w:sz w:val="28"/>
          <w:szCs w:val="28"/>
          <w:lang w:eastAsia="zh-CN"/>
        </w:rPr>
        <w:t>，</w:t>
      </w:r>
      <w:r>
        <w:rPr>
          <w:rFonts w:hint="eastAsia" w:ascii="仿宋" w:hAnsi="仿宋" w:eastAsia="仿宋" w:cs="仿宋"/>
          <w:b w:val="0"/>
          <w:bCs w:val="0"/>
          <w:color w:val="000000"/>
          <w:sz w:val="28"/>
          <w:szCs w:val="28"/>
          <w:lang w:val="en-US" w:eastAsia="zh-CN"/>
        </w:rPr>
        <w:t>保证各部门</w:t>
      </w:r>
      <w:r>
        <w:rPr>
          <w:rFonts w:hint="eastAsia" w:ascii="仿宋" w:hAnsi="仿宋" w:eastAsia="仿宋" w:cs="仿宋"/>
          <w:b w:val="0"/>
          <w:bCs w:val="0"/>
          <w:color w:val="000000"/>
          <w:sz w:val="28"/>
          <w:szCs w:val="28"/>
        </w:rPr>
        <w:t>各环节能</w:t>
      </w:r>
      <w:r>
        <w:rPr>
          <w:rFonts w:hint="eastAsia" w:ascii="仿宋" w:hAnsi="仿宋" w:eastAsia="仿宋" w:cs="仿宋"/>
          <w:b w:val="0"/>
          <w:bCs w:val="0"/>
          <w:color w:val="000000" w:themeColor="text1"/>
          <w:sz w:val="28"/>
          <w:szCs w:val="28"/>
          <w14:textFill>
            <w14:solidFill>
              <w14:schemeClr w14:val="tx1"/>
            </w14:solidFill>
          </w14:textFill>
        </w:rPr>
        <w:t>快速</w:t>
      </w:r>
      <w:r>
        <w:rPr>
          <w:rFonts w:hint="eastAsia" w:ascii="仿宋" w:hAnsi="仿宋" w:eastAsia="仿宋" w:cs="仿宋"/>
          <w:b w:val="0"/>
          <w:bCs w:val="0"/>
          <w:color w:val="000000" w:themeColor="text1"/>
          <w:sz w:val="28"/>
          <w:szCs w:val="28"/>
          <w:lang w:val="en-US" w:eastAsia="zh-CN"/>
          <w14:textFill>
            <w14:solidFill>
              <w14:schemeClr w14:val="tx1"/>
            </w14:solidFill>
          </w14:textFill>
        </w:rPr>
        <w:t>响应</w:t>
      </w:r>
      <w:r>
        <w:rPr>
          <w:rFonts w:hint="eastAsia" w:ascii="仿宋" w:hAnsi="仿宋" w:eastAsia="仿宋" w:cs="仿宋"/>
          <w:b w:val="0"/>
          <w:bCs w:val="0"/>
          <w:color w:val="000000" w:themeColor="text1"/>
          <w:sz w:val="28"/>
          <w:szCs w:val="28"/>
          <w14:textFill>
            <w14:solidFill>
              <w14:schemeClr w14:val="tx1"/>
            </w14:solidFill>
          </w14:textFill>
        </w:rPr>
        <w:t>、</w:t>
      </w:r>
      <w:r>
        <w:rPr>
          <w:rFonts w:hint="eastAsia" w:ascii="仿宋" w:hAnsi="仿宋" w:eastAsia="仿宋" w:cs="仿宋"/>
          <w:b w:val="0"/>
          <w:bCs w:val="0"/>
          <w:color w:val="000000"/>
          <w:sz w:val="28"/>
          <w:szCs w:val="28"/>
        </w:rPr>
        <w:t>运行精准、协同配合。</w:t>
      </w:r>
      <w:r>
        <w:rPr>
          <w:rFonts w:hint="eastAsia" w:ascii="仿宋" w:hAnsi="仿宋" w:eastAsia="仿宋" w:cs="仿宋"/>
          <w:b w:val="0"/>
          <w:bCs w:val="0"/>
          <w:color w:val="000000"/>
          <w:sz w:val="28"/>
          <w:szCs w:val="28"/>
          <w:lang w:val="en-US" w:eastAsia="zh-CN"/>
        </w:rPr>
        <w:t>三</w:t>
      </w:r>
      <w:r>
        <w:rPr>
          <w:rFonts w:hint="eastAsia" w:ascii="仿宋" w:hAnsi="仿宋" w:eastAsia="仿宋" w:cs="仿宋"/>
          <w:b w:val="0"/>
          <w:bCs w:val="0"/>
          <w:color w:val="000000" w:themeColor="text1"/>
          <w:sz w:val="28"/>
          <w:szCs w:val="28"/>
          <w:vertAlign w:val="baseline"/>
          <w:lang w:val="en-US" w:eastAsia="zh-CN"/>
          <w14:textFill>
            <w14:solidFill>
              <w14:schemeClr w14:val="tx1"/>
            </w14:solidFill>
          </w14:textFill>
        </w:rPr>
        <w:t>是提升售后服务综合能力，建设数字化冲压管理系统。</w:t>
      </w:r>
      <w:r>
        <w:rPr>
          <w:rFonts w:hint="eastAsia" w:ascii="仿宋" w:hAnsi="仿宋" w:eastAsia="仿宋" w:cs="仿宋"/>
          <w:b w:val="0"/>
          <w:bCs w:val="0"/>
          <w:sz w:val="28"/>
          <w:szCs w:val="28"/>
          <w:lang w:val="en-US" w:eastAsia="zh-CN"/>
        </w:rPr>
        <w:t>通过</w:t>
      </w:r>
      <w:r>
        <w:rPr>
          <w:rFonts w:hint="eastAsia" w:ascii="仿宋" w:hAnsi="仿宋" w:eastAsia="仿宋" w:cs="仿宋"/>
          <w:b w:val="0"/>
          <w:bCs w:val="0"/>
          <w:sz w:val="28"/>
          <w:szCs w:val="28"/>
        </w:rPr>
        <w:t>搭建了“云端”售后服务平台，</w:t>
      </w:r>
      <w:r>
        <w:rPr>
          <w:rFonts w:hint="eastAsia" w:ascii="仿宋" w:hAnsi="仿宋" w:eastAsia="仿宋" w:cs="仿宋"/>
          <w:b w:val="0"/>
          <w:bCs w:val="0"/>
          <w:sz w:val="28"/>
          <w:szCs w:val="28"/>
          <w:lang w:val="en-US" w:eastAsia="zh-CN"/>
        </w:rPr>
        <w:t>快速</w:t>
      </w:r>
      <w:r>
        <w:rPr>
          <w:rFonts w:hint="eastAsia" w:ascii="仿宋" w:hAnsi="仿宋" w:eastAsia="仿宋" w:cs="仿宋"/>
          <w:b w:val="0"/>
          <w:bCs w:val="0"/>
          <w:sz w:val="28"/>
          <w:szCs w:val="28"/>
        </w:rPr>
        <w:t>应对</w:t>
      </w:r>
      <w:r>
        <w:rPr>
          <w:rFonts w:hint="eastAsia" w:ascii="仿宋" w:hAnsi="仿宋" w:eastAsia="仿宋" w:cs="仿宋"/>
          <w:b w:val="0"/>
          <w:bCs w:val="0"/>
          <w:sz w:val="28"/>
          <w:szCs w:val="28"/>
          <w:lang w:val="en-US" w:eastAsia="zh-CN"/>
        </w:rPr>
        <w:t>客户</w:t>
      </w:r>
      <w:r>
        <w:rPr>
          <w:rFonts w:hint="eastAsia" w:ascii="仿宋" w:hAnsi="仿宋" w:eastAsia="仿宋" w:cs="仿宋"/>
          <w:b w:val="0"/>
          <w:bCs w:val="0"/>
          <w:sz w:val="28"/>
          <w:szCs w:val="28"/>
        </w:rPr>
        <w:t>生产中的异常现象，避免因为故障发现滞后造成的</w:t>
      </w:r>
      <w:r>
        <w:rPr>
          <w:rFonts w:hint="eastAsia" w:ascii="仿宋" w:hAnsi="仿宋" w:eastAsia="仿宋" w:cs="仿宋"/>
          <w:b w:val="0"/>
          <w:bCs w:val="0"/>
          <w:sz w:val="28"/>
          <w:szCs w:val="28"/>
          <w:lang w:val="en-US" w:eastAsia="zh-CN"/>
        </w:rPr>
        <w:t>损失</w:t>
      </w:r>
      <w:r>
        <w:rPr>
          <w:rFonts w:hint="eastAsia" w:ascii="仿宋" w:hAnsi="仿宋" w:eastAsia="仿宋" w:cs="仿宋"/>
          <w:b w:val="0"/>
          <w:bCs w:val="0"/>
          <w:sz w:val="28"/>
          <w:szCs w:val="28"/>
        </w:rPr>
        <w:t>。</w:t>
      </w:r>
      <w:r>
        <w:rPr>
          <w:rFonts w:hint="eastAsia" w:ascii="仿宋" w:hAnsi="仿宋" w:eastAsia="仿宋" w:cs="仿宋"/>
          <w:b w:val="0"/>
          <w:bCs w:val="0"/>
          <w:color w:val="000000" w:themeColor="text1"/>
          <w:sz w:val="28"/>
          <w:szCs w:val="28"/>
          <w:vertAlign w:val="baseline"/>
          <w:lang w:val="en-US" w:eastAsia="zh-CN"/>
          <w14:textFill>
            <w14:solidFill>
              <w14:schemeClr w14:val="tx1"/>
            </w14:solidFill>
          </w14:textFill>
        </w:rPr>
        <w:t>四是拓展售后技术服务范围，帮助用户改造升级现有设备，做到服务延伸，技术下企，植入智能数控元素，开展设备改造，提升客户现有设备使用功能和生产效力。</w:t>
      </w:r>
    </w:p>
    <w:p w14:paraId="7CA87646">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2、</w:t>
      </w:r>
      <w:r>
        <w:rPr>
          <w:rFonts w:hint="eastAsia" w:ascii="仿宋" w:hAnsi="仿宋" w:eastAsia="仿宋" w:cs="仿宋"/>
          <w:b/>
          <w:bCs/>
          <w:sz w:val="28"/>
          <w:szCs w:val="28"/>
        </w:rPr>
        <w:t>产品和服务质量的跟踪</w:t>
      </w:r>
    </w:p>
    <w:p w14:paraId="1875107A">
      <w:pPr>
        <w:keepNext w:val="0"/>
        <w:keepLines w:val="0"/>
        <w:pageBreakBefore w:val="0"/>
        <w:widowControl w:val="0"/>
        <w:kinsoku/>
        <w:wordWrap/>
        <w:overflowPunct/>
        <w:topLinePunct w:val="0"/>
        <w:autoSpaceDE/>
        <w:autoSpaceDN/>
        <w:bidi w:val="0"/>
        <w:adjustRightInd/>
        <w:snapToGrid w:val="0"/>
        <w:spacing w:line="600" w:lineRule="exact"/>
        <w:ind w:firstLine="420"/>
        <w:textAlignment w:val="auto"/>
        <w:rPr>
          <w:rFonts w:hint="eastAsia" w:ascii="仿宋" w:hAnsi="仿宋" w:eastAsia="仿宋" w:cs="仿宋"/>
          <w:sz w:val="28"/>
          <w:szCs w:val="28"/>
        </w:rPr>
      </w:pPr>
      <w:r>
        <w:rPr>
          <w:rFonts w:hint="eastAsia" w:ascii="仿宋" w:hAnsi="仿宋" w:eastAsia="仿宋" w:cs="仿宋"/>
          <w:kern w:val="0"/>
          <w:sz w:val="28"/>
          <w:szCs w:val="28"/>
        </w:rPr>
        <w:t>冲床种类越来越多，先进科技应用的迭代更新也较快，公司会及时地提供各种咨询，当好参谋，并提供有关资料，加强</w:t>
      </w:r>
      <w:r>
        <w:rPr>
          <w:rFonts w:hint="eastAsia" w:ascii="仿宋" w:hAnsi="仿宋" w:eastAsia="仿宋" w:cs="仿宋"/>
          <w:sz w:val="28"/>
          <w:szCs w:val="28"/>
        </w:rPr>
        <w:t>对顾客进行产品、服务质量跟踪。</w:t>
      </w:r>
    </w:p>
    <w:p w14:paraId="079F2279">
      <w:pPr>
        <w:pStyle w:val="20"/>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center"/>
        <w:textAlignment w:val="auto"/>
        <w:rPr>
          <w:rFonts w:hint="eastAsia" w:ascii="仿宋" w:hAnsi="仿宋" w:eastAsia="仿宋" w:cs="仿宋"/>
          <w:sz w:val="28"/>
          <w:szCs w:val="28"/>
        </w:rPr>
      </w:pPr>
      <w:r>
        <w:rPr>
          <w:rFonts w:hint="eastAsia" w:ascii="仿宋" w:hAnsi="仿宋" w:eastAsia="仿宋" w:cs="仿宋"/>
          <w:b/>
          <w:color w:val="000000"/>
          <w:sz w:val="28"/>
          <w:szCs w:val="28"/>
        </w:rPr>
        <w:t>跟踪产品和服务质量的方法</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1797"/>
        <w:gridCol w:w="5239"/>
        <w:gridCol w:w="1340"/>
      </w:tblGrid>
      <w:tr w14:paraId="285D2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blHeader/>
          <w:jc w:val="center"/>
        </w:trPr>
        <w:tc>
          <w:tcPr>
            <w:tcW w:w="4269" w:type="pct"/>
            <w:gridSpan w:val="3"/>
            <w:shd w:val="clear" w:color="auto" w:fill="0070C0"/>
          </w:tcPr>
          <w:p w14:paraId="7CA40D1E">
            <w:pPr>
              <w:pageBreakBefore w:val="0"/>
              <w:kinsoku/>
              <w:overflowPunct/>
              <w:topLinePunct w:val="0"/>
              <w:autoSpaceDE w:val="0"/>
              <w:autoSpaceDN w:val="0"/>
              <w:bidi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产品和服务质量跟踪过程</w:t>
            </w:r>
          </w:p>
        </w:tc>
        <w:tc>
          <w:tcPr>
            <w:tcW w:w="730" w:type="pct"/>
            <w:shd w:val="clear" w:color="auto" w:fill="0070C0"/>
            <w:vAlign w:val="center"/>
          </w:tcPr>
          <w:p w14:paraId="21ECAFBB">
            <w:pPr>
              <w:pageBreakBefore w:val="0"/>
              <w:kinsoku/>
              <w:overflowPunct/>
              <w:topLinePunct w:val="0"/>
              <w:autoSpaceDE w:val="0"/>
              <w:autoSpaceDN w:val="0"/>
              <w:bidi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责任部门</w:t>
            </w:r>
          </w:p>
        </w:tc>
      </w:tr>
      <w:tr w14:paraId="03DDB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35" w:type="pct"/>
            <w:vAlign w:val="center"/>
          </w:tcPr>
          <w:p w14:paraId="51379339">
            <w:pPr>
              <w:pageBreakBefore w:val="0"/>
              <w:kinsoku/>
              <w:overflowPunct/>
              <w:topLinePunct w:val="0"/>
              <w:autoSpaceDE w:val="0"/>
              <w:autoSpaceDN w:val="0"/>
              <w:bidi w:val="0"/>
              <w:snapToGrid w:val="0"/>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t>售前</w:t>
            </w:r>
          </w:p>
        </w:tc>
        <w:tc>
          <w:tcPr>
            <w:tcW w:w="979" w:type="pct"/>
            <w:vAlign w:val="center"/>
          </w:tcPr>
          <w:p w14:paraId="24E8EEF2">
            <w:pPr>
              <w:pageBreakBefore w:val="0"/>
              <w:kinsoku/>
              <w:overflowPunct/>
              <w:topLinePunct w:val="0"/>
              <w:autoSpaceDE w:val="0"/>
              <w:autoSpaceDN w:val="0"/>
              <w:bidi w:val="0"/>
              <w:snapToGrid w:val="0"/>
              <w:rPr>
                <w:rFonts w:hint="eastAsia" w:ascii="仿宋" w:hAnsi="仿宋" w:eastAsia="仿宋" w:cs="仿宋"/>
                <w:bCs/>
                <w:sz w:val="28"/>
                <w:szCs w:val="28"/>
                <w:highlight w:val="yellow"/>
              </w:rPr>
            </w:pPr>
            <w:r>
              <w:rPr>
                <w:rFonts w:hint="eastAsia" w:ascii="仿宋" w:hAnsi="仿宋" w:eastAsia="仿宋" w:cs="仿宋"/>
                <w:bCs/>
                <w:sz w:val="28"/>
                <w:szCs w:val="28"/>
              </w:rPr>
              <w:t>关注潜在客户需求，以售前技术服务赢客户。</w:t>
            </w:r>
          </w:p>
        </w:tc>
        <w:tc>
          <w:tcPr>
            <w:tcW w:w="2854" w:type="pct"/>
            <w:shd w:val="clear" w:color="auto" w:fill="auto"/>
            <w:vAlign w:val="center"/>
          </w:tcPr>
          <w:p w14:paraId="13118F02">
            <w:pPr>
              <w:pageBreakBefore w:val="0"/>
              <w:kinsoku/>
              <w:overflowPunct/>
              <w:topLinePunct w:val="0"/>
              <w:autoSpaceDE w:val="0"/>
              <w:autoSpaceDN w:val="0"/>
              <w:bidi w:val="0"/>
              <w:snapToGrid w:val="0"/>
              <w:rPr>
                <w:rFonts w:hint="eastAsia" w:ascii="仿宋" w:hAnsi="仿宋" w:eastAsia="仿宋" w:cs="仿宋"/>
                <w:bCs/>
                <w:sz w:val="28"/>
                <w:szCs w:val="28"/>
                <w:highlight w:val="yellow"/>
              </w:rPr>
            </w:pPr>
            <w:r>
              <w:rPr>
                <w:rFonts w:hint="eastAsia" w:ascii="仿宋" w:hAnsi="仿宋" w:eastAsia="仿宋" w:cs="仿宋"/>
                <w:bCs/>
                <w:sz w:val="28"/>
                <w:szCs w:val="28"/>
              </w:rPr>
              <w:t>针对许多企业更需求一种方案集成的交钥匙工程，公司大量的技术人员需要直接深入走向市场、客户，成为成套方案的操盘手，制定特色生产线解决方案，提供各种针对行业或产品专用特色的生产解决方案和产品服务。</w:t>
            </w:r>
          </w:p>
        </w:tc>
        <w:tc>
          <w:tcPr>
            <w:tcW w:w="730" w:type="pct"/>
            <w:shd w:val="clear" w:color="auto" w:fill="auto"/>
            <w:vAlign w:val="center"/>
          </w:tcPr>
          <w:p w14:paraId="6D44DB65">
            <w:pPr>
              <w:pageBreakBefore w:val="0"/>
              <w:kinsoku/>
              <w:overflowPunct/>
              <w:topLinePunct w:val="0"/>
              <w:autoSpaceDE w:val="0"/>
              <w:autoSpaceDN w:val="0"/>
              <w:bidi w:val="0"/>
              <w:snapToGrid w:val="0"/>
              <w:jc w:val="center"/>
              <w:rPr>
                <w:rFonts w:hint="eastAsia" w:ascii="仿宋" w:hAnsi="仿宋" w:eastAsia="仿宋" w:cs="仿宋"/>
                <w:bCs/>
                <w:sz w:val="28"/>
                <w:szCs w:val="28"/>
              </w:rPr>
            </w:pPr>
            <w:r>
              <w:rPr>
                <w:rFonts w:hint="eastAsia" w:ascii="仿宋" w:hAnsi="仿宋" w:eastAsia="仿宋" w:cs="仿宋"/>
                <w:bCs/>
                <w:sz w:val="28"/>
                <w:szCs w:val="28"/>
              </w:rPr>
              <w:t>营销公司</w:t>
            </w:r>
          </w:p>
          <w:p w14:paraId="60B86C77">
            <w:pPr>
              <w:pageBreakBefore w:val="0"/>
              <w:kinsoku/>
              <w:overflowPunct/>
              <w:topLinePunct w:val="0"/>
              <w:autoSpaceDE w:val="0"/>
              <w:autoSpaceDN w:val="0"/>
              <w:bidi w:val="0"/>
              <w:snapToGrid w:val="0"/>
              <w:jc w:val="center"/>
              <w:rPr>
                <w:rFonts w:hint="eastAsia" w:ascii="仿宋" w:hAnsi="仿宋" w:eastAsia="仿宋" w:cs="仿宋"/>
                <w:bCs/>
                <w:sz w:val="28"/>
                <w:szCs w:val="28"/>
              </w:rPr>
            </w:pPr>
            <w:r>
              <w:rPr>
                <w:rFonts w:hint="eastAsia" w:ascii="仿宋" w:hAnsi="仿宋" w:eastAsia="仿宋" w:cs="仿宋"/>
                <w:bCs/>
                <w:sz w:val="28"/>
                <w:szCs w:val="28"/>
              </w:rPr>
              <w:t>研发部</w:t>
            </w:r>
          </w:p>
        </w:tc>
      </w:tr>
      <w:tr w14:paraId="2B0F9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35" w:type="pct"/>
            <w:vAlign w:val="center"/>
          </w:tcPr>
          <w:p w14:paraId="4ED2096A">
            <w:pPr>
              <w:pageBreakBefore w:val="0"/>
              <w:kinsoku/>
              <w:overflowPunct/>
              <w:topLinePunct w:val="0"/>
              <w:autoSpaceDE w:val="0"/>
              <w:autoSpaceDN w:val="0"/>
              <w:bidi w:val="0"/>
              <w:snapToGrid w:val="0"/>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t>售中</w:t>
            </w:r>
          </w:p>
        </w:tc>
        <w:tc>
          <w:tcPr>
            <w:tcW w:w="979" w:type="pct"/>
            <w:vAlign w:val="center"/>
          </w:tcPr>
          <w:p w14:paraId="4E459DBA">
            <w:pPr>
              <w:pageBreakBefore w:val="0"/>
              <w:kinsoku/>
              <w:overflowPunct/>
              <w:topLinePunct w:val="0"/>
              <w:autoSpaceDE w:val="0"/>
              <w:autoSpaceDN w:val="0"/>
              <w:bidi w:val="0"/>
              <w:snapToGrid w:val="0"/>
              <w:rPr>
                <w:rFonts w:hint="eastAsia" w:ascii="仿宋" w:hAnsi="仿宋" w:eastAsia="仿宋" w:cs="仿宋"/>
                <w:bCs/>
                <w:sz w:val="28"/>
                <w:szCs w:val="28"/>
                <w:highlight w:val="yellow"/>
              </w:rPr>
            </w:pPr>
            <w:r>
              <w:rPr>
                <w:rFonts w:hint="eastAsia" w:ascii="仿宋" w:hAnsi="仿宋" w:eastAsia="仿宋" w:cs="仿宋"/>
                <w:bCs/>
                <w:sz w:val="28"/>
                <w:szCs w:val="28"/>
              </w:rPr>
              <w:t>围绕客户产品需求依标生产，扎实做好售中服务。</w:t>
            </w:r>
          </w:p>
        </w:tc>
        <w:tc>
          <w:tcPr>
            <w:tcW w:w="2854" w:type="pct"/>
            <w:shd w:val="clear" w:color="auto" w:fill="auto"/>
            <w:vAlign w:val="center"/>
          </w:tcPr>
          <w:p w14:paraId="24BF274B">
            <w:pPr>
              <w:pageBreakBefore w:val="0"/>
              <w:kinsoku/>
              <w:overflowPunct/>
              <w:topLinePunct w:val="0"/>
              <w:autoSpaceDE w:val="0"/>
              <w:autoSpaceDN w:val="0"/>
              <w:bidi w:val="0"/>
              <w:snapToGrid w:val="0"/>
              <w:rPr>
                <w:rFonts w:hint="eastAsia" w:ascii="仿宋" w:hAnsi="仿宋" w:eastAsia="仿宋" w:cs="仿宋"/>
                <w:bCs/>
                <w:sz w:val="28"/>
                <w:szCs w:val="28"/>
                <w:highlight w:val="yellow"/>
              </w:rPr>
            </w:pPr>
            <w:r>
              <w:rPr>
                <w:rFonts w:hint="eastAsia" w:ascii="仿宋" w:hAnsi="仿宋" w:eastAsia="仿宋" w:cs="仿宋"/>
                <w:bCs/>
                <w:sz w:val="28"/>
                <w:szCs w:val="28"/>
              </w:rPr>
              <w:t>公司坚持依标生产、服务和管理，保证各部门各环节能快速响应、运行精准、协同配合。</w:t>
            </w:r>
          </w:p>
        </w:tc>
        <w:tc>
          <w:tcPr>
            <w:tcW w:w="730" w:type="pct"/>
            <w:shd w:val="clear" w:color="auto" w:fill="auto"/>
            <w:vAlign w:val="center"/>
          </w:tcPr>
          <w:p w14:paraId="0B8261A0">
            <w:pPr>
              <w:pageBreakBefore w:val="0"/>
              <w:kinsoku/>
              <w:overflowPunct/>
              <w:topLinePunct w:val="0"/>
              <w:autoSpaceDE w:val="0"/>
              <w:autoSpaceDN w:val="0"/>
              <w:bidi w:val="0"/>
              <w:snapToGrid w:val="0"/>
              <w:jc w:val="center"/>
              <w:rPr>
                <w:rFonts w:hint="eastAsia" w:ascii="仿宋" w:hAnsi="仿宋" w:eastAsia="仿宋" w:cs="仿宋"/>
                <w:bCs/>
                <w:sz w:val="28"/>
                <w:szCs w:val="28"/>
              </w:rPr>
            </w:pPr>
            <w:r>
              <w:rPr>
                <w:rFonts w:hint="eastAsia" w:ascii="仿宋" w:hAnsi="仿宋" w:eastAsia="仿宋" w:cs="仿宋"/>
                <w:bCs/>
                <w:sz w:val="28"/>
                <w:szCs w:val="28"/>
              </w:rPr>
              <w:t>营销公司</w:t>
            </w:r>
          </w:p>
          <w:p w14:paraId="19B647E6">
            <w:pPr>
              <w:pageBreakBefore w:val="0"/>
              <w:kinsoku/>
              <w:overflowPunct/>
              <w:topLinePunct w:val="0"/>
              <w:autoSpaceDE w:val="0"/>
              <w:autoSpaceDN w:val="0"/>
              <w:bidi w:val="0"/>
              <w:snapToGrid w:val="0"/>
              <w:jc w:val="center"/>
              <w:rPr>
                <w:rFonts w:hint="eastAsia" w:ascii="仿宋" w:hAnsi="仿宋" w:eastAsia="仿宋" w:cs="仿宋"/>
                <w:bCs/>
                <w:sz w:val="28"/>
                <w:szCs w:val="28"/>
              </w:rPr>
            </w:pPr>
            <w:r>
              <w:rPr>
                <w:rFonts w:hint="eastAsia" w:ascii="仿宋" w:hAnsi="仿宋" w:eastAsia="仿宋" w:cs="仿宋"/>
                <w:bCs/>
                <w:sz w:val="28"/>
                <w:szCs w:val="28"/>
              </w:rPr>
              <w:t>研发部</w:t>
            </w:r>
          </w:p>
          <w:p w14:paraId="35E1DABC">
            <w:pPr>
              <w:pageBreakBefore w:val="0"/>
              <w:kinsoku/>
              <w:overflowPunct/>
              <w:topLinePunct w:val="0"/>
              <w:autoSpaceDE w:val="0"/>
              <w:autoSpaceDN w:val="0"/>
              <w:bidi w:val="0"/>
              <w:snapToGrid w:val="0"/>
              <w:jc w:val="center"/>
              <w:rPr>
                <w:rFonts w:hint="eastAsia" w:ascii="仿宋" w:hAnsi="仿宋" w:eastAsia="仿宋" w:cs="仿宋"/>
                <w:bCs/>
                <w:sz w:val="28"/>
                <w:szCs w:val="28"/>
              </w:rPr>
            </w:pPr>
            <w:r>
              <w:rPr>
                <w:rFonts w:hint="eastAsia" w:ascii="仿宋" w:hAnsi="仿宋" w:eastAsia="仿宋" w:cs="仿宋"/>
                <w:bCs/>
                <w:sz w:val="28"/>
                <w:szCs w:val="28"/>
              </w:rPr>
              <w:t>生产部</w:t>
            </w:r>
          </w:p>
        </w:tc>
      </w:tr>
      <w:tr w14:paraId="3EFE2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35" w:type="pct"/>
            <w:vAlign w:val="center"/>
          </w:tcPr>
          <w:p w14:paraId="167BCBF9">
            <w:pPr>
              <w:pageBreakBefore w:val="0"/>
              <w:kinsoku/>
              <w:overflowPunct/>
              <w:topLinePunct w:val="0"/>
              <w:autoSpaceDE w:val="0"/>
              <w:autoSpaceDN w:val="0"/>
              <w:bidi w:val="0"/>
              <w:snapToGrid w:val="0"/>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t>售后</w:t>
            </w:r>
          </w:p>
        </w:tc>
        <w:tc>
          <w:tcPr>
            <w:tcW w:w="979" w:type="pct"/>
            <w:vAlign w:val="center"/>
          </w:tcPr>
          <w:p w14:paraId="7DBEABBF">
            <w:pPr>
              <w:pageBreakBefore w:val="0"/>
              <w:kinsoku/>
              <w:overflowPunct/>
              <w:topLinePunct w:val="0"/>
              <w:autoSpaceDE w:val="0"/>
              <w:autoSpaceDN w:val="0"/>
              <w:bidi w:val="0"/>
              <w:snapToGrid w:val="0"/>
              <w:rPr>
                <w:rFonts w:hint="eastAsia" w:ascii="仿宋" w:hAnsi="仿宋" w:eastAsia="仿宋" w:cs="仿宋"/>
                <w:bCs/>
                <w:sz w:val="28"/>
                <w:szCs w:val="28"/>
                <w:highlight w:val="yellow"/>
              </w:rPr>
            </w:pPr>
            <w:r>
              <w:rPr>
                <w:rFonts w:hint="eastAsia" w:ascii="仿宋" w:hAnsi="仿宋" w:eastAsia="仿宋" w:cs="仿宋"/>
                <w:bCs/>
                <w:sz w:val="28"/>
                <w:szCs w:val="28"/>
              </w:rPr>
              <w:t>提升售后服务综合能力，建设数字化冲压管理系统。</w:t>
            </w:r>
          </w:p>
        </w:tc>
        <w:tc>
          <w:tcPr>
            <w:tcW w:w="2854" w:type="pct"/>
            <w:shd w:val="clear" w:color="auto" w:fill="auto"/>
            <w:vAlign w:val="center"/>
          </w:tcPr>
          <w:p w14:paraId="1ABD0515">
            <w:pPr>
              <w:pageBreakBefore w:val="0"/>
              <w:kinsoku/>
              <w:overflowPunct/>
              <w:topLinePunct w:val="0"/>
              <w:autoSpaceDE w:val="0"/>
              <w:autoSpaceDN w:val="0"/>
              <w:bidi w:val="0"/>
              <w:snapToGrid w:val="0"/>
              <w:rPr>
                <w:rFonts w:hint="eastAsia" w:ascii="仿宋" w:hAnsi="仿宋" w:eastAsia="仿宋" w:cs="仿宋"/>
                <w:bCs/>
                <w:sz w:val="28"/>
                <w:szCs w:val="28"/>
              </w:rPr>
            </w:pPr>
            <w:r>
              <w:rPr>
                <w:rFonts w:hint="eastAsia" w:ascii="仿宋" w:hAnsi="仿宋" w:eastAsia="仿宋" w:cs="仿宋"/>
                <w:bCs/>
                <w:sz w:val="28"/>
                <w:szCs w:val="28"/>
              </w:rPr>
              <w:t>通过搭建了“云端”售后服务平台，快速应对客户生产中的异常现象，避免因为故障发现滞后造成的损失；拓展售后技术服务范围，帮助用户改造现有设备，做到服务延伸，植入智能数控元素，提升客户现有设备使用功能和生产效力。</w:t>
            </w:r>
          </w:p>
        </w:tc>
        <w:tc>
          <w:tcPr>
            <w:tcW w:w="730" w:type="pct"/>
            <w:shd w:val="clear" w:color="auto" w:fill="auto"/>
            <w:vAlign w:val="center"/>
          </w:tcPr>
          <w:p w14:paraId="49A2D4E2">
            <w:pPr>
              <w:pageBreakBefore w:val="0"/>
              <w:kinsoku/>
              <w:overflowPunct/>
              <w:topLinePunct w:val="0"/>
              <w:autoSpaceDE w:val="0"/>
              <w:autoSpaceDN w:val="0"/>
              <w:bidi w:val="0"/>
              <w:snapToGrid w:val="0"/>
              <w:jc w:val="center"/>
              <w:rPr>
                <w:rFonts w:hint="eastAsia" w:ascii="仿宋" w:hAnsi="仿宋" w:eastAsia="仿宋" w:cs="仿宋"/>
                <w:bCs/>
                <w:sz w:val="28"/>
                <w:szCs w:val="28"/>
              </w:rPr>
            </w:pPr>
            <w:r>
              <w:rPr>
                <w:rFonts w:hint="eastAsia" w:ascii="仿宋" w:hAnsi="仿宋" w:eastAsia="仿宋" w:cs="仿宋"/>
                <w:bCs/>
                <w:sz w:val="28"/>
                <w:szCs w:val="28"/>
              </w:rPr>
              <w:t>营销公司</w:t>
            </w:r>
          </w:p>
          <w:p w14:paraId="37FBAA89">
            <w:pPr>
              <w:pageBreakBefore w:val="0"/>
              <w:kinsoku/>
              <w:overflowPunct/>
              <w:topLinePunct w:val="0"/>
              <w:autoSpaceDE w:val="0"/>
              <w:autoSpaceDN w:val="0"/>
              <w:bidi w:val="0"/>
              <w:snapToGrid w:val="0"/>
              <w:jc w:val="center"/>
              <w:rPr>
                <w:rFonts w:hint="eastAsia" w:ascii="仿宋" w:hAnsi="仿宋" w:eastAsia="仿宋" w:cs="仿宋"/>
                <w:bCs/>
                <w:sz w:val="28"/>
                <w:szCs w:val="28"/>
              </w:rPr>
            </w:pPr>
            <w:r>
              <w:rPr>
                <w:rFonts w:hint="eastAsia" w:ascii="仿宋" w:hAnsi="仿宋" w:eastAsia="仿宋" w:cs="仿宋"/>
                <w:bCs/>
                <w:sz w:val="28"/>
                <w:szCs w:val="28"/>
              </w:rPr>
              <w:t>品质部</w:t>
            </w:r>
          </w:p>
          <w:p w14:paraId="43CCF081">
            <w:pPr>
              <w:pageBreakBefore w:val="0"/>
              <w:kinsoku/>
              <w:overflowPunct/>
              <w:topLinePunct w:val="0"/>
              <w:autoSpaceDE w:val="0"/>
              <w:autoSpaceDN w:val="0"/>
              <w:bidi w:val="0"/>
              <w:snapToGrid w:val="0"/>
              <w:jc w:val="center"/>
              <w:rPr>
                <w:rFonts w:hint="eastAsia" w:ascii="仿宋" w:hAnsi="仿宋" w:eastAsia="仿宋" w:cs="仿宋"/>
                <w:bCs/>
                <w:sz w:val="28"/>
                <w:szCs w:val="28"/>
              </w:rPr>
            </w:pPr>
            <w:r>
              <w:rPr>
                <w:rFonts w:hint="eastAsia" w:ascii="仿宋" w:hAnsi="仿宋" w:eastAsia="仿宋" w:cs="仿宋"/>
                <w:bCs/>
                <w:sz w:val="28"/>
                <w:szCs w:val="28"/>
              </w:rPr>
              <w:t>研发部</w:t>
            </w:r>
          </w:p>
        </w:tc>
      </w:tr>
    </w:tbl>
    <w:p w14:paraId="79496D9D">
      <w:pPr>
        <w:pStyle w:val="31"/>
        <w:keepNext w:val="0"/>
        <w:keepLines w:val="0"/>
        <w:pageBreakBefore w:val="0"/>
        <w:kinsoku/>
        <w:wordWrap/>
        <w:overflowPunct/>
        <w:topLinePunct w:val="0"/>
        <w:autoSpaceDE/>
        <w:autoSpaceDN/>
        <w:bidi w:val="0"/>
        <w:adjustRightInd/>
        <w:spacing w:line="600" w:lineRule="exact"/>
        <w:ind w:left="0" w:leftChars="0" w:firstLine="0" w:firstLineChars="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3、顾客满意度测量</w:t>
      </w:r>
    </w:p>
    <w:p w14:paraId="4DF148AC">
      <w:pPr>
        <w:keepNext w:val="0"/>
        <w:keepLines w:val="0"/>
        <w:pageBreakBefore w:val="0"/>
        <w:kinsoku/>
        <w:wordWrap/>
        <w:overflowPunct/>
        <w:topLinePunct w:val="0"/>
        <w:autoSpaceDE/>
        <w:autoSpaceDN/>
        <w:bidi w:val="0"/>
        <w:adjustRightInd/>
        <w:snapToGrid w:val="0"/>
        <w:spacing w:line="600" w:lineRule="exact"/>
        <w:ind w:firstLine="420"/>
        <w:textAlignment w:val="auto"/>
        <w:rPr>
          <w:rFonts w:hint="eastAsia" w:ascii="仿宋" w:hAnsi="仿宋" w:eastAsia="仿宋" w:cs="仿宋"/>
          <w:sz w:val="28"/>
          <w:szCs w:val="28"/>
        </w:rPr>
      </w:pPr>
      <w:r>
        <w:rPr>
          <w:rFonts w:hint="eastAsia" w:ascii="仿宋" w:hAnsi="仿宋" w:eastAsia="仿宋" w:cs="仿宋"/>
          <w:sz w:val="28"/>
          <w:szCs w:val="28"/>
        </w:rPr>
        <w:t>公司使用管理体系程序文件《顾客满意度的测量控制程序》进行顾客满意度的调查与测量。多年以来，坚持做到每年开展最少一次顾客满意度的测评。顾客满意度调查提高了公司的市场竞争能力。</w:t>
      </w:r>
    </w:p>
    <w:p w14:paraId="328A0AE2">
      <w:pPr>
        <w:keepNext w:val="0"/>
        <w:keepLines w:val="0"/>
        <w:pageBreakBefore w:val="0"/>
        <w:kinsoku/>
        <w:wordWrap/>
        <w:overflowPunct/>
        <w:topLinePunct w:val="0"/>
        <w:autoSpaceDE/>
        <w:autoSpaceDN/>
        <w:bidi w:val="0"/>
        <w:adjustRightInd/>
        <w:snapToGrid w:val="0"/>
        <w:spacing w:line="600" w:lineRule="exact"/>
        <w:ind w:firstLine="420"/>
        <w:textAlignment w:val="auto"/>
        <w:rPr>
          <w:rFonts w:hint="eastAsia" w:ascii="仿宋" w:hAnsi="仿宋" w:eastAsia="仿宋" w:cs="仿宋"/>
          <w:sz w:val="28"/>
          <w:szCs w:val="28"/>
        </w:rPr>
      </w:pPr>
      <w:r>
        <w:rPr>
          <w:rFonts w:hint="eastAsia" w:ascii="仿宋" w:hAnsi="仿宋" w:eastAsia="仿宋" w:cs="仿宋"/>
          <w:sz w:val="28"/>
          <w:szCs w:val="28"/>
        </w:rPr>
        <w:t>在确保数据收集的客观性和有效性的基础上，营销公司会使用问卷等方法来确定影响满意度的因素。在测量方法上，公司由营销公司进行不定期的回访以作为顾客满意度测量的补充。公司顾客满意度测量的调查项目涉及生产能力、交货期、产品价格和总体评价等方面。通过顾客满意度调查得出结论，作为公司管理评审重要输入资料之一，作为公司重点改善的方向。</w:t>
      </w:r>
    </w:p>
    <w:p w14:paraId="1AEF505E">
      <w:pPr>
        <w:keepNext w:val="0"/>
        <w:keepLines w:val="0"/>
        <w:pageBreakBefore w:val="0"/>
        <w:kinsoku/>
        <w:wordWrap/>
        <w:overflowPunct/>
        <w:topLinePunct w:val="0"/>
        <w:autoSpaceDE/>
        <w:autoSpaceDN/>
        <w:bidi w:val="0"/>
        <w:adjustRightInd/>
        <w:snapToGrid w:val="0"/>
        <w:spacing w:line="600" w:lineRule="exact"/>
        <w:ind w:firstLine="548" w:firstLineChars="196"/>
        <w:textAlignment w:val="auto"/>
        <w:rPr>
          <w:rFonts w:hint="eastAsia" w:ascii="仿宋" w:hAnsi="仿宋" w:eastAsia="仿宋" w:cs="仿宋"/>
          <w:sz w:val="28"/>
          <w:szCs w:val="28"/>
        </w:rPr>
      </w:pPr>
      <w:r>
        <w:rPr>
          <w:rFonts w:hint="eastAsia" w:ascii="仿宋" w:hAnsi="仿宋" w:eastAsia="仿宋" w:cs="仿宋"/>
          <w:sz w:val="28"/>
          <w:szCs w:val="28"/>
        </w:rPr>
        <w:t>营销公司根据公司的总体布局，会定期走访顾客，了解顾客对公司的满意度情况。公司高层干部定期访问战略合作的顾客。访问时收集产品质量情况，听取顾客的意见，重点了解顾客对公司满意度情况，并编制出报告，必要时落实相关部门进行整改。营销公司经常会对与顾客约定比例执行情况跟踪，发生约定比例执行下降时，就寻找造成的主要原因，采取措施进行改善。</w:t>
      </w:r>
    </w:p>
    <w:p w14:paraId="0B44C950">
      <w:pPr>
        <w:pStyle w:val="34"/>
        <w:keepNext w:val="0"/>
        <w:keepLines w:val="0"/>
        <w:pageBreakBefore w:val="0"/>
        <w:numPr>
          <w:ilvl w:val="0"/>
          <w:numId w:val="0"/>
        </w:numPr>
        <w:kinsoku/>
        <w:wordWrap/>
        <w:overflowPunct/>
        <w:topLinePunct w:val="0"/>
        <w:autoSpaceDE/>
        <w:autoSpaceDN/>
        <w:bidi w:val="0"/>
        <w:adjustRightInd/>
        <w:snapToGrid w:val="0"/>
        <w:spacing w:after="0" w:afterLines="0" w:line="60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202</w:t>
      </w:r>
      <w:r>
        <w:rPr>
          <w:rFonts w:hint="eastAsia" w:ascii="仿宋" w:hAnsi="仿宋" w:eastAsia="仿宋" w:cs="仿宋"/>
          <w:sz w:val="28"/>
          <w:szCs w:val="28"/>
          <w:lang w:val="en-US" w:eastAsia="zh-CN"/>
        </w:rPr>
        <w:t>4</w:t>
      </w:r>
      <w:r>
        <w:rPr>
          <w:rFonts w:hint="eastAsia" w:ascii="仿宋" w:hAnsi="仿宋" w:eastAsia="仿宋" w:cs="仿宋"/>
          <w:sz w:val="28"/>
          <w:szCs w:val="28"/>
        </w:rPr>
        <w:t>年满意度调查结果</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102"/>
        <w:gridCol w:w="965"/>
        <w:gridCol w:w="1102"/>
        <w:gridCol w:w="965"/>
        <w:gridCol w:w="966"/>
        <w:gridCol w:w="1102"/>
        <w:gridCol w:w="1031"/>
        <w:gridCol w:w="1101"/>
      </w:tblGrid>
      <w:tr w14:paraId="08951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tblHeader/>
          <w:jc w:val="center"/>
        </w:trPr>
        <w:tc>
          <w:tcPr>
            <w:tcW w:w="1997" w:type="dxa"/>
            <w:gridSpan w:val="2"/>
            <w:shd w:val="clear" w:color="auto" w:fill="0070C0"/>
            <w:vAlign w:val="center"/>
          </w:tcPr>
          <w:p w14:paraId="10712820">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项目</w:t>
            </w:r>
          </w:p>
        </w:tc>
        <w:tc>
          <w:tcPr>
            <w:tcW w:w="992" w:type="dxa"/>
            <w:shd w:val="clear" w:color="auto" w:fill="0070C0"/>
            <w:vAlign w:val="center"/>
          </w:tcPr>
          <w:p w14:paraId="66AE4A60">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权重</w:t>
            </w:r>
          </w:p>
        </w:tc>
        <w:tc>
          <w:tcPr>
            <w:tcW w:w="1134" w:type="dxa"/>
            <w:shd w:val="clear" w:color="auto" w:fill="0070C0"/>
            <w:vAlign w:val="center"/>
          </w:tcPr>
          <w:p w14:paraId="4F71FEE5">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很满意100%</w:t>
            </w:r>
          </w:p>
        </w:tc>
        <w:tc>
          <w:tcPr>
            <w:tcW w:w="992" w:type="dxa"/>
            <w:shd w:val="clear" w:color="auto" w:fill="0070C0"/>
            <w:vAlign w:val="center"/>
          </w:tcPr>
          <w:p w14:paraId="21E9C581">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满意90%</w:t>
            </w:r>
          </w:p>
        </w:tc>
        <w:tc>
          <w:tcPr>
            <w:tcW w:w="993" w:type="dxa"/>
            <w:shd w:val="clear" w:color="auto" w:fill="0070C0"/>
            <w:vAlign w:val="center"/>
          </w:tcPr>
          <w:p w14:paraId="2CED6486">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一般80%</w:t>
            </w:r>
          </w:p>
        </w:tc>
        <w:tc>
          <w:tcPr>
            <w:tcW w:w="1134" w:type="dxa"/>
            <w:shd w:val="clear" w:color="auto" w:fill="0070C0"/>
            <w:vAlign w:val="center"/>
          </w:tcPr>
          <w:p w14:paraId="7EBA45DC">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不满意70%</w:t>
            </w:r>
          </w:p>
        </w:tc>
        <w:tc>
          <w:tcPr>
            <w:tcW w:w="1061" w:type="dxa"/>
            <w:shd w:val="clear" w:color="auto" w:fill="0070C0"/>
            <w:vAlign w:val="center"/>
          </w:tcPr>
          <w:p w14:paraId="3C0A6778">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很不满意60%</w:t>
            </w:r>
          </w:p>
        </w:tc>
        <w:tc>
          <w:tcPr>
            <w:tcW w:w="1132" w:type="dxa"/>
            <w:shd w:val="clear" w:color="auto" w:fill="0070C0"/>
            <w:vAlign w:val="center"/>
          </w:tcPr>
          <w:p w14:paraId="4E978DD7">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单项满意度（%）</w:t>
            </w:r>
          </w:p>
        </w:tc>
      </w:tr>
      <w:tr w14:paraId="14127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3" w:type="dxa"/>
            <w:vMerge w:val="restart"/>
            <w:vAlign w:val="center"/>
          </w:tcPr>
          <w:p w14:paraId="12D3C9E2">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质量满意度</w:t>
            </w:r>
          </w:p>
        </w:tc>
        <w:tc>
          <w:tcPr>
            <w:tcW w:w="1134" w:type="dxa"/>
            <w:vAlign w:val="center"/>
          </w:tcPr>
          <w:p w14:paraId="64575546">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产品质量率%</w:t>
            </w:r>
          </w:p>
        </w:tc>
        <w:tc>
          <w:tcPr>
            <w:tcW w:w="992" w:type="dxa"/>
          </w:tcPr>
          <w:p w14:paraId="2EBF4BA6">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20%</w:t>
            </w:r>
          </w:p>
        </w:tc>
        <w:tc>
          <w:tcPr>
            <w:tcW w:w="1134" w:type="dxa"/>
            <w:vAlign w:val="center"/>
          </w:tcPr>
          <w:p w14:paraId="6B4C69B2">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30</w:t>
            </w:r>
          </w:p>
        </w:tc>
        <w:tc>
          <w:tcPr>
            <w:tcW w:w="992" w:type="dxa"/>
            <w:vAlign w:val="center"/>
          </w:tcPr>
          <w:p w14:paraId="46754F58">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17</w:t>
            </w:r>
          </w:p>
        </w:tc>
        <w:tc>
          <w:tcPr>
            <w:tcW w:w="993" w:type="dxa"/>
            <w:vAlign w:val="center"/>
          </w:tcPr>
          <w:p w14:paraId="288774FE">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1</w:t>
            </w:r>
          </w:p>
        </w:tc>
        <w:tc>
          <w:tcPr>
            <w:tcW w:w="1134" w:type="dxa"/>
            <w:vAlign w:val="center"/>
          </w:tcPr>
          <w:p w14:paraId="394C2EB5">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061" w:type="dxa"/>
            <w:vAlign w:val="center"/>
          </w:tcPr>
          <w:p w14:paraId="3B230E24">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132" w:type="dxa"/>
            <w:vAlign w:val="center"/>
          </w:tcPr>
          <w:p w14:paraId="0497B3C7">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96.04</w:t>
            </w:r>
          </w:p>
        </w:tc>
      </w:tr>
      <w:tr w14:paraId="2F10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3" w:type="dxa"/>
            <w:vMerge w:val="continue"/>
            <w:vAlign w:val="center"/>
          </w:tcPr>
          <w:p w14:paraId="30091CFF">
            <w:pPr>
              <w:pageBreakBefore w:val="0"/>
              <w:kinsoku/>
              <w:overflowPunct/>
              <w:topLinePunct w:val="0"/>
              <w:bidi w:val="0"/>
              <w:snapToGrid w:val="0"/>
              <w:jc w:val="center"/>
              <w:rPr>
                <w:rFonts w:hint="eastAsia" w:ascii="仿宋" w:hAnsi="仿宋" w:eastAsia="仿宋" w:cs="仿宋"/>
                <w:sz w:val="28"/>
                <w:szCs w:val="28"/>
              </w:rPr>
            </w:pPr>
          </w:p>
        </w:tc>
        <w:tc>
          <w:tcPr>
            <w:tcW w:w="1134" w:type="dxa"/>
            <w:vAlign w:val="center"/>
          </w:tcPr>
          <w:p w14:paraId="745F6AB5">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价格</w:t>
            </w:r>
          </w:p>
        </w:tc>
        <w:tc>
          <w:tcPr>
            <w:tcW w:w="992" w:type="dxa"/>
          </w:tcPr>
          <w:p w14:paraId="71CC7875">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20%</w:t>
            </w:r>
          </w:p>
        </w:tc>
        <w:tc>
          <w:tcPr>
            <w:tcW w:w="1134" w:type="dxa"/>
            <w:vAlign w:val="center"/>
          </w:tcPr>
          <w:p w14:paraId="169E6F0A">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29</w:t>
            </w:r>
          </w:p>
        </w:tc>
        <w:tc>
          <w:tcPr>
            <w:tcW w:w="992" w:type="dxa"/>
            <w:vAlign w:val="center"/>
          </w:tcPr>
          <w:p w14:paraId="5CC4EDFB">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18</w:t>
            </w:r>
          </w:p>
        </w:tc>
        <w:tc>
          <w:tcPr>
            <w:tcW w:w="993" w:type="dxa"/>
            <w:vAlign w:val="center"/>
          </w:tcPr>
          <w:p w14:paraId="3E8BB2D6">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1</w:t>
            </w:r>
          </w:p>
        </w:tc>
        <w:tc>
          <w:tcPr>
            <w:tcW w:w="1134" w:type="dxa"/>
            <w:vAlign w:val="center"/>
          </w:tcPr>
          <w:p w14:paraId="3EBB48E3">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061" w:type="dxa"/>
            <w:vAlign w:val="center"/>
          </w:tcPr>
          <w:p w14:paraId="3821A11A">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132" w:type="dxa"/>
            <w:vAlign w:val="center"/>
          </w:tcPr>
          <w:p w14:paraId="6FE9661C">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95.83</w:t>
            </w:r>
          </w:p>
        </w:tc>
      </w:tr>
      <w:tr w14:paraId="5698C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863" w:type="dxa"/>
            <w:vMerge w:val="continue"/>
            <w:vAlign w:val="center"/>
          </w:tcPr>
          <w:p w14:paraId="4B38B631">
            <w:pPr>
              <w:pageBreakBefore w:val="0"/>
              <w:kinsoku/>
              <w:overflowPunct/>
              <w:topLinePunct w:val="0"/>
              <w:bidi w:val="0"/>
              <w:snapToGrid w:val="0"/>
              <w:jc w:val="center"/>
              <w:rPr>
                <w:rFonts w:hint="eastAsia" w:ascii="仿宋" w:hAnsi="仿宋" w:eastAsia="仿宋" w:cs="仿宋"/>
                <w:sz w:val="28"/>
                <w:szCs w:val="28"/>
              </w:rPr>
            </w:pPr>
          </w:p>
        </w:tc>
        <w:tc>
          <w:tcPr>
            <w:tcW w:w="1134" w:type="dxa"/>
            <w:vAlign w:val="center"/>
          </w:tcPr>
          <w:p w14:paraId="169BE585">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技术性能</w:t>
            </w:r>
          </w:p>
        </w:tc>
        <w:tc>
          <w:tcPr>
            <w:tcW w:w="992" w:type="dxa"/>
          </w:tcPr>
          <w:p w14:paraId="20115EB2">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20%</w:t>
            </w:r>
          </w:p>
        </w:tc>
        <w:tc>
          <w:tcPr>
            <w:tcW w:w="1134" w:type="dxa"/>
            <w:vAlign w:val="center"/>
          </w:tcPr>
          <w:p w14:paraId="2791731B">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33</w:t>
            </w:r>
          </w:p>
        </w:tc>
        <w:tc>
          <w:tcPr>
            <w:tcW w:w="992" w:type="dxa"/>
            <w:vAlign w:val="center"/>
          </w:tcPr>
          <w:p w14:paraId="5CB2FF28">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15</w:t>
            </w:r>
          </w:p>
        </w:tc>
        <w:tc>
          <w:tcPr>
            <w:tcW w:w="993" w:type="dxa"/>
            <w:vAlign w:val="center"/>
          </w:tcPr>
          <w:p w14:paraId="556944D0">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134" w:type="dxa"/>
            <w:vAlign w:val="center"/>
          </w:tcPr>
          <w:p w14:paraId="03749E5E">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061" w:type="dxa"/>
            <w:vAlign w:val="center"/>
          </w:tcPr>
          <w:p w14:paraId="51A26C09">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132" w:type="dxa"/>
            <w:vAlign w:val="center"/>
          </w:tcPr>
          <w:p w14:paraId="314BD5E7">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96.87</w:t>
            </w:r>
          </w:p>
        </w:tc>
      </w:tr>
      <w:tr w14:paraId="6AB06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863" w:type="dxa"/>
            <w:vMerge w:val="restart"/>
            <w:vAlign w:val="center"/>
          </w:tcPr>
          <w:p w14:paraId="386DF085">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服务满意度</w:t>
            </w:r>
          </w:p>
        </w:tc>
        <w:tc>
          <w:tcPr>
            <w:tcW w:w="1134" w:type="dxa"/>
            <w:vAlign w:val="center"/>
          </w:tcPr>
          <w:p w14:paraId="2CC03070">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交货期</w:t>
            </w:r>
          </w:p>
        </w:tc>
        <w:tc>
          <w:tcPr>
            <w:tcW w:w="992" w:type="dxa"/>
            <w:vAlign w:val="center"/>
          </w:tcPr>
          <w:p w14:paraId="196C5C86">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20%</w:t>
            </w:r>
          </w:p>
        </w:tc>
        <w:tc>
          <w:tcPr>
            <w:tcW w:w="1134" w:type="dxa"/>
            <w:vAlign w:val="center"/>
          </w:tcPr>
          <w:p w14:paraId="6B38BF6C">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29</w:t>
            </w:r>
          </w:p>
        </w:tc>
        <w:tc>
          <w:tcPr>
            <w:tcW w:w="992" w:type="dxa"/>
            <w:vAlign w:val="center"/>
          </w:tcPr>
          <w:p w14:paraId="580FA954">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18</w:t>
            </w:r>
          </w:p>
        </w:tc>
        <w:tc>
          <w:tcPr>
            <w:tcW w:w="993" w:type="dxa"/>
            <w:vAlign w:val="center"/>
          </w:tcPr>
          <w:p w14:paraId="5F7BB2D7">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1</w:t>
            </w:r>
          </w:p>
        </w:tc>
        <w:tc>
          <w:tcPr>
            <w:tcW w:w="1134" w:type="dxa"/>
            <w:vAlign w:val="center"/>
          </w:tcPr>
          <w:p w14:paraId="73E59E7E">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061" w:type="dxa"/>
            <w:vAlign w:val="center"/>
          </w:tcPr>
          <w:p w14:paraId="41BE1325">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132" w:type="dxa"/>
            <w:vAlign w:val="center"/>
          </w:tcPr>
          <w:p w14:paraId="4CC4A873">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95.83</w:t>
            </w:r>
          </w:p>
        </w:tc>
      </w:tr>
      <w:tr w14:paraId="1DA0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jc w:val="center"/>
        </w:trPr>
        <w:tc>
          <w:tcPr>
            <w:tcW w:w="863" w:type="dxa"/>
            <w:vMerge w:val="continue"/>
            <w:vAlign w:val="center"/>
          </w:tcPr>
          <w:p w14:paraId="452A38B2">
            <w:pPr>
              <w:pageBreakBefore w:val="0"/>
              <w:kinsoku/>
              <w:overflowPunct/>
              <w:topLinePunct w:val="0"/>
              <w:bidi w:val="0"/>
              <w:snapToGrid w:val="0"/>
              <w:jc w:val="center"/>
              <w:rPr>
                <w:rFonts w:hint="eastAsia" w:ascii="仿宋" w:hAnsi="仿宋" w:eastAsia="仿宋" w:cs="仿宋"/>
                <w:sz w:val="28"/>
                <w:szCs w:val="28"/>
              </w:rPr>
            </w:pPr>
          </w:p>
        </w:tc>
        <w:tc>
          <w:tcPr>
            <w:tcW w:w="1134" w:type="dxa"/>
            <w:vAlign w:val="center"/>
          </w:tcPr>
          <w:p w14:paraId="2328EADD">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服务</w:t>
            </w:r>
          </w:p>
        </w:tc>
        <w:tc>
          <w:tcPr>
            <w:tcW w:w="992" w:type="dxa"/>
            <w:vAlign w:val="center"/>
          </w:tcPr>
          <w:p w14:paraId="25C4AF54">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20%</w:t>
            </w:r>
          </w:p>
        </w:tc>
        <w:tc>
          <w:tcPr>
            <w:tcW w:w="1134" w:type="dxa"/>
            <w:vAlign w:val="center"/>
          </w:tcPr>
          <w:p w14:paraId="493121CD">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34</w:t>
            </w:r>
          </w:p>
        </w:tc>
        <w:tc>
          <w:tcPr>
            <w:tcW w:w="992" w:type="dxa"/>
            <w:vAlign w:val="center"/>
          </w:tcPr>
          <w:p w14:paraId="48602B4E">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13</w:t>
            </w:r>
          </w:p>
        </w:tc>
        <w:tc>
          <w:tcPr>
            <w:tcW w:w="993" w:type="dxa"/>
            <w:vAlign w:val="center"/>
          </w:tcPr>
          <w:p w14:paraId="7C613783">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1</w:t>
            </w:r>
          </w:p>
        </w:tc>
        <w:tc>
          <w:tcPr>
            <w:tcW w:w="1134" w:type="dxa"/>
            <w:vAlign w:val="center"/>
          </w:tcPr>
          <w:p w14:paraId="5B031BEF">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061" w:type="dxa"/>
            <w:vAlign w:val="center"/>
          </w:tcPr>
          <w:p w14:paraId="265649D2">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132" w:type="dxa"/>
            <w:vAlign w:val="center"/>
          </w:tcPr>
          <w:p w14:paraId="36C4CD91">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96.87</w:t>
            </w:r>
          </w:p>
        </w:tc>
      </w:tr>
      <w:tr w14:paraId="33BE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97" w:type="dxa"/>
            <w:gridSpan w:val="2"/>
            <w:vAlign w:val="center"/>
          </w:tcPr>
          <w:p w14:paraId="62440BE7">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质量满意度</w:t>
            </w:r>
          </w:p>
        </w:tc>
        <w:tc>
          <w:tcPr>
            <w:tcW w:w="7438" w:type="dxa"/>
            <w:gridSpan w:val="7"/>
            <w:vAlign w:val="center"/>
          </w:tcPr>
          <w:p w14:paraId="2AC3B9D3">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加权产品质量满意度、使用寿命满意度，为96.25%。</w:t>
            </w:r>
          </w:p>
        </w:tc>
      </w:tr>
      <w:tr w14:paraId="1951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97" w:type="dxa"/>
            <w:gridSpan w:val="2"/>
            <w:vAlign w:val="center"/>
          </w:tcPr>
          <w:p w14:paraId="061BE86E">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服务满意度</w:t>
            </w:r>
          </w:p>
        </w:tc>
        <w:tc>
          <w:tcPr>
            <w:tcW w:w="7438" w:type="dxa"/>
            <w:gridSpan w:val="7"/>
            <w:vAlign w:val="center"/>
          </w:tcPr>
          <w:p w14:paraId="57EF390A">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加权交货期满意度、服务满意度，为96.35%。</w:t>
            </w:r>
          </w:p>
        </w:tc>
      </w:tr>
      <w:tr w14:paraId="682E7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97" w:type="dxa"/>
            <w:gridSpan w:val="2"/>
            <w:vAlign w:val="center"/>
          </w:tcPr>
          <w:p w14:paraId="03781032">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顾客满意度</w:t>
            </w:r>
          </w:p>
        </w:tc>
        <w:tc>
          <w:tcPr>
            <w:tcW w:w="7438" w:type="dxa"/>
            <w:gridSpan w:val="7"/>
            <w:vAlign w:val="center"/>
          </w:tcPr>
          <w:p w14:paraId="5DE7513C">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加权质量满意度、服务满意度，为96.29%。</w:t>
            </w:r>
          </w:p>
        </w:tc>
      </w:tr>
    </w:tbl>
    <w:p w14:paraId="1424837A">
      <w:pPr>
        <w:keepNext w:val="0"/>
        <w:keepLines w:val="0"/>
        <w:pageBreakBefore w:val="0"/>
        <w:widowControl w:val="0"/>
        <w:kinsoku/>
        <w:wordWrap/>
        <w:overflowPunct/>
        <w:topLinePunct w:val="0"/>
        <w:autoSpaceDE/>
        <w:autoSpaceDN/>
        <w:bidi w:val="0"/>
        <w:snapToGrid w:val="0"/>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202</w:t>
      </w:r>
      <w:r>
        <w:rPr>
          <w:rFonts w:hint="eastAsia" w:ascii="仿宋" w:hAnsi="仿宋" w:eastAsia="仿宋" w:cs="仿宋"/>
          <w:sz w:val="28"/>
          <w:szCs w:val="28"/>
          <w:lang w:val="en-US" w:eastAsia="zh-CN"/>
        </w:rPr>
        <w:t>4</w:t>
      </w:r>
      <w:r>
        <w:rPr>
          <w:rFonts w:hint="eastAsia" w:ascii="仿宋" w:hAnsi="仿宋" w:eastAsia="仿宋" w:cs="仿宋"/>
          <w:sz w:val="28"/>
          <w:szCs w:val="28"/>
        </w:rPr>
        <w:t>年顾客满意度计算时期为202</w:t>
      </w:r>
      <w:r>
        <w:rPr>
          <w:rFonts w:hint="eastAsia" w:ascii="仿宋" w:hAnsi="仿宋" w:eastAsia="仿宋" w:cs="仿宋"/>
          <w:sz w:val="28"/>
          <w:szCs w:val="28"/>
          <w:lang w:val="en-US" w:eastAsia="zh-CN"/>
        </w:rPr>
        <w:t>4</w:t>
      </w:r>
      <w:r>
        <w:rPr>
          <w:rFonts w:hint="eastAsia" w:ascii="仿宋" w:hAnsi="仿宋" w:eastAsia="仿宋" w:cs="仿宋"/>
          <w:sz w:val="28"/>
          <w:szCs w:val="28"/>
        </w:rPr>
        <w:t>年1月1日至202</w:t>
      </w:r>
      <w:r>
        <w:rPr>
          <w:rFonts w:hint="eastAsia" w:ascii="仿宋" w:hAnsi="仿宋" w:eastAsia="仿宋" w:cs="仿宋"/>
          <w:sz w:val="28"/>
          <w:szCs w:val="28"/>
          <w:lang w:val="en-US" w:eastAsia="zh-CN"/>
        </w:rPr>
        <w:t>4</w:t>
      </w:r>
      <w:r>
        <w:rPr>
          <w:rFonts w:hint="eastAsia" w:ascii="仿宋" w:hAnsi="仿宋" w:eastAsia="仿宋" w:cs="仿宋"/>
          <w:sz w:val="28"/>
          <w:szCs w:val="28"/>
        </w:rPr>
        <w:t>年12月31日，对客户发放《顾客满意度调查表》，共收回48份调查表，回收率为87%。根据回收的顾客满意度调查表，经加权平均计算202</w:t>
      </w:r>
      <w:r>
        <w:rPr>
          <w:rFonts w:hint="eastAsia" w:ascii="仿宋" w:hAnsi="仿宋" w:eastAsia="仿宋" w:cs="仿宋"/>
          <w:sz w:val="28"/>
          <w:szCs w:val="28"/>
          <w:lang w:val="en-US" w:eastAsia="zh-CN"/>
        </w:rPr>
        <w:t>4</w:t>
      </w:r>
      <w:r>
        <w:rPr>
          <w:rFonts w:hint="eastAsia" w:ascii="仿宋" w:hAnsi="仿宋" w:eastAsia="仿宋" w:cs="仿宋"/>
          <w:sz w:val="28"/>
          <w:szCs w:val="28"/>
        </w:rPr>
        <w:t>年度质量满意度为96.25%，服务满意度为96.35%，顾客满意度为96.29%，均大于95%，达到了公司规定的质量目标，客户对公司的产品和服务总体满意度较高。</w:t>
      </w:r>
    </w:p>
    <w:p w14:paraId="2AE07AFF">
      <w:pPr>
        <w:keepNext w:val="0"/>
        <w:keepLines w:val="0"/>
        <w:pageBreakBefore w:val="0"/>
        <w:widowControl w:val="0"/>
        <w:kinsoku/>
        <w:wordWrap/>
        <w:overflowPunct/>
        <w:topLinePunct w:val="0"/>
        <w:autoSpaceDE/>
        <w:autoSpaceDN/>
        <w:bidi w:val="0"/>
        <w:snapToGrid w:val="0"/>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202</w:t>
      </w:r>
      <w:r>
        <w:rPr>
          <w:rFonts w:hint="eastAsia" w:ascii="仿宋" w:hAnsi="仿宋" w:eastAsia="仿宋" w:cs="仿宋"/>
          <w:sz w:val="28"/>
          <w:szCs w:val="28"/>
          <w:lang w:val="en-US" w:eastAsia="zh-CN"/>
        </w:rPr>
        <w:t>4</w:t>
      </w:r>
      <w:r>
        <w:rPr>
          <w:rFonts w:hint="eastAsia" w:ascii="仿宋" w:hAnsi="仿宋" w:eastAsia="仿宋" w:cs="仿宋"/>
          <w:sz w:val="28"/>
          <w:szCs w:val="28"/>
        </w:rPr>
        <w:t>年，公司通过加大研发投入和产学研合作，增加先进的生产、测量设备，引入精细化管理模式，推行生产管理模式变革，导入卓越绩效管理，增加售后服务力量，建立售后服务云端服务等快速响应机制。使产品质量、性能、交期、服务、顾客满意度都得到稳步提升，从而促进市场占有率快速提升。</w:t>
      </w:r>
    </w:p>
    <w:p w14:paraId="5E21CDBF">
      <w:pPr>
        <w:keepNext w:val="0"/>
        <w:keepLines w:val="0"/>
        <w:pageBreakBefore w:val="0"/>
        <w:widowControl w:val="0"/>
        <w:numPr>
          <w:ilvl w:val="0"/>
          <w:numId w:val="3"/>
        </w:numPr>
        <w:kinsoku/>
        <w:wordWrap/>
        <w:overflowPunct/>
        <w:topLinePunct w:val="0"/>
        <w:autoSpaceDE/>
        <w:autoSpaceDN/>
        <w:bidi w:val="0"/>
        <w:snapToGrid w:val="0"/>
        <w:spacing w:line="600" w:lineRule="exact"/>
        <w:ind w:left="0" w:leftChars="0" w:firstLine="0" w:firstLineChars="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在促进环境及生态可持续发展方面履行的社会责任</w:t>
      </w:r>
    </w:p>
    <w:p w14:paraId="65576F1C">
      <w:pPr>
        <w:keepNext w:val="0"/>
        <w:keepLines w:val="0"/>
        <w:pageBreakBefore w:val="0"/>
        <w:widowControl w:val="0"/>
        <w:kinsoku/>
        <w:wordWrap/>
        <w:overflowPunct/>
        <w:topLinePunct w:val="0"/>
        <w:autoSpaceDE/>
        <w:autoSpaceDN/>
        <w:bidi w:val="0"/>
        <w:adjustRightInd w:val="0"/>
        <w:snapToGrid w:val="0"/>
        <w:spacing w:line="600" w:lineRule="exact"/>
        <w:ind w:firstLine="420"/>
        <w:textAlignment w:val="auto"/>
        <w:rPr>
          <w:rFonts w:hint="eastAsia" w:ascii="仿宋" w:hAnsi="仿宋" w:eastAsia="仿宋" w:cs="仿宋"/>
          <w:sz w:val="28"/>
          <w:szCs w:val="28"/>
        </w:rPr>
      </w:pPr>
      <w:r>
        <w:rPr>
          <w:rFonts w:hint="eastAsia" w:ascii="仿宋" w:hAnsi="仿宋" w:eastAsia="仿宋" w:cs="仿宋"/>
          <w:sz w:val="28"/>
          <w:szCs w:val="28"/>
        </w:rPr>
        <w:t>公司建立了质量管理体系、环境管理体系、职业健康安全管理体系、测量管理体系等，确保质量安全，评估并确定产品、服务和运营给社会带来的环境保护、能源消耗、资源综合利用、产品安全、公共卫生等方面的影响，并针对相关风险，在生产服务运营中严格运行相关体系，确立满足和超越法律法规要求的关键过程、测量方法和指标，制定相应的对策和改进措施。</w:t>
      </w:r>
    </w:p>
    <w:p w14:paraId="74D48057">
      <w:pPr>
        <w:pStyle w:val="20"/>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jc w:val="center"/>
        <w:textAlignment w:val="auto"/>
        <w:rPr>
          <w:rFonts w:hint="eastAsia" w:ascii="仿宋" w:hAnsi="仿宋" w:eastAsia="仿宋" w:cs="仿宋"/>
          <w:b/>
          <w:color w:val="000000"/>
          <w:sz w:val="28"/>
          <w:szCs w:val="28"/>
        </w:rPr>
      </w:pPr>
      <w:r>
        <w:rPr>
          <w:rFonts w:hint="eastAsia" w:ascii="仿宋" w:hAnsi="仿宋" w:eastAsia="仿宋" w:cs="仿宋"/>
          <w:b/>
          <w:color w:val="000000"/>
          <w:sz w:val="28"/>
          <w:szCs w:val="28"/>
        </w:rPr>
        <w:t>公共责任控制措施与指标</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679"/>
        <w:gridCol w:w="957"/>
        <w:gridCol w:w="2052"/>
        <w:gridCol w:w="1368"/>
        <w:gridCol w:w="1094"/>
        <w:gridCol w:w="2922"/>
      </w:tblGrid>
      <w:tr w14:paraId="531CA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26" w:hRule="atLeast"/>
          <w:tblHeader/>
          <w:jc w:val="center"/>
        </w:trPr>
        <w:tc>
          <w:tcPr>
            <w:tcW w:w="704" w:type="dxa"/>
            <w:shd w:val="clear" w:color="auto" w:fill="0070C0"/>
            <w:vAlign w:val="center"/>
          </w:tcPr>
          <w:p w14:paraId="0E38790D">
            <w:pPr>
              <w:pageBreakBefore w:val="0"/>
              <w:kinsoku/>
              <w:overflowPunct/>
              <w:topLinePunct w:val="0"/>
              <w:bidi w:val="0"/>
              <w:adjustRightInd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项目</w:t>
            </w:r>
          </w:p>
        </w:tc>
        <w:tc>
          <w:tcPr>
            <w:tcW w:w="992" w:type="dxa"/>
            <w:shd w:val="clear" w:color="auto" w:fill="0070C0"/>
            <w:vAlign w:val="center"/>
          </w:tcPr>
          <w:p w14:paraId="71E31735">
            <w:pPr>
              <w:pageBreakBefore w:val="0"/>
              <w:kinsoku/>
              <w:overflowPunct/>
              <w:topLinePunct w:val="0"/>
              <w:bidi w:val="0"/>
              <w:adjustRightInd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影响因素</w:t>
            </w:r>
          </w:p>
        </w:tc>
        <w:tc>
          <w:tcPr>
            <w:tcW w:w="2127" w:type="dxa"/>
            <w:shd w:val="clear" w:color="auto" w:fill="0070C0"/>
            <w:vAlign w:val="center"/>
          </w:tcPr>
          <w:p w14:paraId="4474C1BC">
            <w:pPr>
              <w:pageBreakBefore w:val="0"/>
              <w:kinsoku/>
              <w:overflowPunct/>
              <w:topLinePunct w:val="0"/>
              <w:bidi w:val="0"/>
              <w:adjustRightInd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公司要求</w:t>
            </w:r>
          </w:p>
        </w:tc>
        <w:tc>
          <w:tcPr>
            <w:tcW w:w="1417" w:type="dxa"/>
            <w:shd w:val="clear" w:color="auto" w:fill="0070C0"/>
            <w:vAlign w:val="center"/>
          </w:tcPr>
          <w:p w14:paraId="51D75ACC">
            <w:pPr>
              <w:pageBreakBefore w:val="0"/>
              <w:kinsoku/>
              <w:overflowPunct/>
              <w:topLinePunct w:val="0"/>
              <w:bidi w:val="0"/>
              <w:adjustRightInd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法律法规要求</w:t>
            </w:r>
          </w:p>
        </w:tc>
        <w:tc>
          <w:tcPr>
            <w:tcW w:w="1134" w:type="dxa"/>
            <w:shd w:val="clear" w:color="auto" w:fill="0070C0"/>
            <w:vAlign w:val="center"/>
          </w:tcPr>
          <w:p w14:paraId="79731948">
            <w:pPr>
              <w:pageBreakBefore w:val="0"/>
              <w:kinsoku/>
              <w:overflowPunct/>
              <w:topLinePunct w:val="0"/>
              <w:bidi w:val="0"/>
              <w:adjustRightInd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测量方法</w:t>
            </w:r>
          </w:p>
        </w:tc>
        <w:tc>
          <w:tcPr>
            <w:tcW w:w="3028" w:type="dxa"/>
            <w:shd w:val="clear" w:color="auto" w:fill="0070C0"/>
            <w:vAlign w:val="center"/>
          </w:tcPr>
          <w:p w14:paraId="216AE625">
            <w:pPr>
              <w:pageBreakBefore w:val="0"/>
              <w:kinsoku/>
              <w:overflowPunct/>
              <w:topLinePunct w:val="0"/>
              <w:bidi w:val="0"/>
              <w:adjustRightInd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控制措施</w:t>
            </w:r>
          </w:p>
        </w:tc>
      </w:tr>
      <w:tr w14:paraId="3ACDD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69" w:hRule="atLeast"/>
          <w:jc w:val="center"/>
        </w:trPr>
        <w:tc>
          <w:tcPr>
            <w:tcW w:w="704" w:type="dxa"/>
            <w:vAlign w:val="center"/>
          </w:tcPr>
          <w:p w14:paraId="08D69FA1">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环境</w:t>
            </w:r>
          </w:p>
          <w:p w14:paraId="01DE5B34">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保护</w:t>
            </w:r>
          </w:p>
        </w:tc>
        <w:tc>
          <w:tcPr>
            <w:tcW w:w="992" w:type="dxa"/>
            <w:vAlign w:val="center"/>
          </w:tcPr>
          <w:p w14:paraId="781CFAFB">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废气、污水</w:t>
            </w:r>
          </w:p>
        </w:tc>
        <w:tc>
          <w:tcPr>
            <w:tcW w:w="2127" w:type="dxa"/>
            <w:vAlign w:val="center"/>
          </w:tcPr>
          <w:p w14:paraId="336F6F1F">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达到标准要求</w:t>
            </w:r>
          </w:p>
        </w:tc>
        <w:tc>
          <w:tcPr>
            <w:tcW w:w="1417" w:type="dxa"/>
            <w:vAlign w:val="center"/>
          </w:tcPr>
          <w:p w14:paraId="3615895B">
            <w:pPr>
              <w:pageBreakBefore w:val="0"/>
              <w:kinsoku/>
              <w:overflowPunct/>
              <w:topLinePunct w:val="0"/>
              <w:bidi w:val="0"/>
              <w:adjustRightInd w:val="0"/>
              <w:snapToGrid w:val="0"/>
              <w:rPr>
                <w:rFonts w:hint="eastAsia" w:ascii="仿宋" w:hAnsi="仿宋" w:eastAsia="仿宋" w:cs="仿宋"/>
                <w:sz w:val="28"/>
                <w:szCs w:val="28"/>
              </w:rPr>
            </w:pPr>
            <w:r>
              <w:rPr>
                <w:rFonts w:hint="eastAsia" w:ascii="仿宋" w:hAnsi="仿宋" w:eastAsia="仿宋" w:cs="仿宋"/>
                <w:sz w:val="28"/>
                <w:szCs w:val="28"/>
              </w:rPr>
              <w:t>符合环境相关法律法规要求</w:t>
            </w:r>
          </w:p>
        </w:tc>
        <w:tc>
          <w:tcPr>
            <w:tcW w:w="1134" w:type="dxa"/>
            <w:vAlign w:val="center"/>
          </w:tcPr>
          <w:p w14:paraId="13175460">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定期监测</w:t>
            </w:r>
          </w:p>
        </w:tc>
        <w:tc>
          <w:tcPr>
            <w:tcW w:w="3028" w:type="dxa"/>
            <w:vAlign w:val="center"/>
          </w:tcPr>
          <w:p w14:paraId="7F0E2652">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1）持续提高实施目标管理以及配套的任务管理、人本管理与文化管理的能力和水平；</w:t>
            </w:r>
          </w:p>
          <w:p w14:paraId="26870F64">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2）循序渐进地整合目标管理的科学流程；</w:t>
            </w:r>
          </w:p>
          <w:p w14:paraId="6AD4A979">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kern w:val="0"/>
                <w:sz w:val="28"/>
                <w:szCs w:val="28"/>
              </w:rPr>
              <w:t>3）</w:t>
            </w:r>
            <w:r>
              <w:rPr>
                <w:rFonts w:hint="eastAsia" w:ascii="仿宋" w:hAnsi="仿宋" w:eastAsia="仿宋" w:cs="仿宋"/>
                <w:sz w:val="28"/>
                <w:szCs w:val="28"/>
              </w:rPr>
              <w:t>引进管理规定要求；</w:t>
            </w:r>
          </w:p>
          <w:p w14:paraId="1B321FD4">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4）建设改进系统等。</w:t>
            </w:r>
          </w:p>
        </w:tc>
      </w:tr>
      <w:tr w14:paraId="6D72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0" w:hRule="atLeast"/>
          <w:jc w:val="center"/>
        </w:trPr>
        <w:tc>
          <w:tcPr>
            <w:tcW w:w="704" w:type="dxa"/>
            <w:vAlign w:val="center"/>
          </w:tcPr>
          <w:p w14:paraId="3B32D0D2">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安全</w:t>
            </w:r>
          </w:p>
          <w:p w14:paraId="15F6577D">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生产</w:t>
            </w:r>
          </w:p>
        </w:tc>
        <w:tc>
          <w:tcPr>
            <w:tcW w:w="992" w:type="dxa"/>
            <w:vAlign w:val="center"/>
          </w:tcPr>
          <w:p w14:paraId="78BCA22F">
            <w:pPr>
              <w:pageBreakBefore w:val="0"/>
              <w:kinsoku/>
              <w:overflowPunct/>
              <w:topLinePunct w:val="0"/>
              <w:bidi w:val="0"/>
              <w:adjustRightInd w:val="0"/>
              <w:snapToGrid w:val="0"/>
              <w:rPr>
                <w:rFonts w:hint="eastAsia" w:ascii="仿宋" w:hAnsi="仿宋" w:eastAsia="仿宋" w:cs="仿宋"/>
                <w:sz w:val="28"/>
                <w:szCs w:val="28"/>
              </w:rPr>
            </w:pPr>
            <w:r>
              <w:rPr>
                <w:rFonts w:hint="eastAsia" w:ascii="仿宋" w:hAnsi="仿宋" w:eastAsia="仿宋" w:cs="仿宋"/>
                <w:sz w:val="28"/>
                <w:szCs w:val="28"/>
              </w:rPr>
              <w:t>火灾等造成人身事故等</w:t>
            </w:r>
          </w:p>
        </w:tc>
        <w:tc>
          <w:tcPr>
            <w:tcW w:w="2127" w:type="dxa"/>
            <w:vAlign w:val="center"/>
          </w:tcPr>
          <w:p w14:paraId="0AC89258">
            <w:pPr>
              <w:pageBreakBefore w:val="0"/>
              <w:kinsoku/>
              <w:overflowPunct/>
              <w:topLinePunct w:val="0"/>
              <w:bidi w:val="0"/>
              <w:adjustRightInd w:val="0"/>
              <w:snapToGrid w:val="0"/>
              <w:rPr>
                <w:rFonts w:hint="eastAsia" w:ascii="仿宋" w:hAnsi="仿宋" w:eastAsia="仿宋" w:cs="仿宋"/>
                <w:kern w:val="0"/>
                <w:sz w:val="28"/>
                <w:szCs w:val="28"/>
              </w:rPr>
            </w:pPr>
            <w:r>
              <w:rPr>
                <w:rFonts w:hint="eastAsia" w:ascii="仿宋" w:hAnsi="仿宋" w:eastAsia="仿宋" w:cs="仿宋"/>
                <w:kern w:val="0"/>
                <w:sz w:val="28"/>
                <w:szCs w:val="28"/>
              </w:rPr>
              <w:t>重大工伤事故为零、职业病及职业危害事故为零、无火灾、爆炸事故、无食物中毒事故等</w:t>
            </w:r>
          </w:p>
        </w:tc>
        <w:tc>
          <w:tcPr>
            <w:tcW w:w="1417" w:type="dxa"/>
            <w:vAlign w:val="center"/>
          </w:tcPr>
          <w:p w14:paraId="08340100">
            <w:pPr>
              <w:pageBreakBefore w:val="0"/>
              <w:kinsoku/>
              <w:overflowPunct/>
              <w:topLinePunct w:val="0"/>
              <w:bidi w:val="0"/>
              <w:adjustRightInd w:val="0"/>
              <w:snapToGrid w:val="0"/>
              <w:rPr>
                <w:rFonts w:hint="eastAsia" w:ascii="仿宋" w:hAnsi="仿宋" w:eastAsia="仿宋" w:cs="仿宋"/>
                <w:kern w:val="0"/>
                <w:sz w:val="28"/>
                <w:szCs w:val="28"/>
              </w:rPr>
            </w:pPr>
            <w:r>
              <w:rPr>
                <w:rFonts w:hint="eastAsia" w:ascii="仿宋" w:hAnsi="仿宋" w:eastAsia="仿宋" w:cs="仿宋"/>
                <w:kern w:val="0"/>
                <w:sz w:val="28"/>
                <w:szCs w:val="28"/>
              </w:rPr>
              <w:t>安全生产标准化相关要求</w:t>
            </w:r>
          </w:p>
        </w:tc>
        <w:tc>
          <w:tcPr>
            <w:tcW w:w="1134" w:type="dxa"/>
            <w:vAlign w:val="center"/>
          </w:tcPr>
          <w:p w14:paraId="4423BB46">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定期监测</w:t>
            </w:r>
          </w:p>
        </w:tc>
        <w:tc>
          <w:tcPr>
            <w:tcW w:w="3028" w:type="dxa"/>
            <w:vAlign w:val="center"/>
          </w:tcPr>
          <w:p w14:paraId="7B7CD999">
            <w:pPr>
              <w:pageBreakBefore w:val="0"/>
              <w:kinsoku/>
              <w:overflowPunct/>
              <w:topLinePunct w:val="0"/>
              <w:bidi w:val="0"/>
              <w:snapToGrid w:val="0"/>
              <w:rPr>
                <w:rFonts w:hint="eastAsia" w:ascii="仿宋" w:hAnsi="仿宋" w:eastAsia="仿宋" w:cs="仿宋"/>
                <w:kern w:val="0"/>
                <w:sz w:val="28"/>
                <w:szCs w:val="28"/>
              </w:rPr>
            </w:pPr>
            <w:r>
              <w:rPr>
                <w:rFonts w:hint="eastAsia" w:ascii="仿宋" w:hAnsi="仿宋" w:eastAsia="仿宋" w:cs="仿宋"/>
                <w:kern w:val="0"/>
                <w:sz w:val="28"/>
                <w:szCs w:val="28"/>
              </w:rPr>
              <w:t>1）降低职业健康、安全风险；</w:t>
            </w:r>
          </w:p>
          <w:p w14:paraId="48E82D6E">
            <w:pPr>
              <w:pageBreakBefore w:val="0"/>
              <w:kinsoku/>
              <w:overflowPunct/>
              <w:topLinePunct w:val="0"/>
              <w:bidi w:val="0"/>
              <w:snapToGrid w:val="0"/>
              <w:rPr>
                <w:rFonts w:hint="eastAsia" w:ascii="仿宋" w:hAnsi="仿宋" w:eastAsia="仿宋" w:cs="仿宋"/>
                <w:kern w:val="0"/>
                <w:sz w:val="28"/>
                <w:szCs w:val="28"/>
              </w:rPr>
            </w:pPr>
            <w:r>
              <w:rPr>
                <w:rFonts w:hint="eastAsia" w:ascii="仿宋" w:hAnsi="仿宋" w:eastAsia="仿宋" w:cs="仿宋"/>
                <w:kern w:val="0"/>
                <w:sz w:val="28"/>
                <w:szCs w:val="28"/>
              </w:rPr>
              <w:t>2）加强教育提高员工安全意识；</w:t>
            </w:r>
          </w:p>
          <w:p w14:paraId="14E8E9A5">
            <w:pPr>
              <w:pageBreakBefore w:val="0"/>
              <w:kinsoku/>
              <w:overflowPunct/>
              <w:topLinePunct w:val="0"/>
              <w:bidi w:val="0"/>
              <w:snapToGrid w:val="0"/>
              <w:rPr>
                <w:rFonts w:hint="eastAsia" w:ascii="仿宋" w:hAnsi="仿宋" w:eastAsia="仿宋" w:cs="仿宋"/>
                <w:kern w:val="0"/>
                <w:sz w:val="28"/>
                <w:szCs w:val="28"/>
              </w:rPr>
            </w:pPr>
            <w:r>
              <w:rPr>
                <w:rFonts w:hint="eastAsia" w:ascii="仿宋" w:hAnsi="仿宋" w:eastAsia="仿宋" w:cs="仿宋"/>
                <w:kern w:val="0"/>
                <w:sz w:val="28"/>
                <w:szCs w:val="28"/>
              </w:rPr>
              <w:t>3）实施安全生产标准化。</w:t>
            </w:r>
          </w:p>
        </w:tc>
      </w:tr>
      <w:tr w14:paraId="1EB4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04" w:hRule="atLeast"/>
          <w:jc w:val="center"/>
        </w:trPr>
        <w:tc>
          <w:tcPr>
            <w:tcW w:w="704" w:type="dxa"/>
            <w:vAlign w:val="center"/>
          </w:tcPr>
          <w:p w14:paraId="71786001">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能源</w:t>
            </w:r>
          </w:p>
          <w:p w14:paraId="6D376D6A">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利用</w:t>
            </w:r>
          </w:p>
        </w:tc>
        <w:tc>
          <w:tcPr>
            <w:tcW w:w="992" w:type="dxa"/>
            <w:vAlign w:val="center"/>
          </w:tcPr>
          <w:p w14:paraId="3CC33108">
            <w:pPr>
              <w:pageBreakBefore w:val="0"/>
              <w:kinsoku/>
              <w:overflowPunct/>
              <w:topLinePunct w:val="0"/>
              <w:bidi w:val="0"/>
              <w:adjustRightInd w:val="0"/>
              <w:snapToGrid w:val="0"/>
              <w:rPr>
                <w:rFonts w:hint="eastAsia" w:ascii="仿宋" w:hAnsi="仿宋" w:eastAsia="仿宋" w:cs="仿宋"/>
                <w:sz w:val="28"/>
                <w:szCs w:val="28"/>
              </w:rPr>
            </w:pPr>
            <w:r>
              <w:rPr>
                <w:rFonts w:hint="eastAsia" w:ascii="仿宋" w:hAnsi="仿宋" w:eastAsia="仿宋" w:cs="仿宋"/>
                <w:sz w:val="28"/>
                <w:szCs w:val="28"/>
              </w:rPr>
              <w:t>资源紧缺等带来的能源危机</w:t>
            </w:r>
          </w:p>
        </w:tc>
        <w:tc>
          <w:tcPr>
            <w:tcW w:w="2127" w:type="dxa"/>
            <w:vAlign w:val="center"/>
          </w:tcPr>
          <w:p w14:paraId="5047275E">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kern w:val="0"/>
                <w:sz w:val="28"/>
                <w:szCs w:val="28"/>
              </w:rPr>
              <w:t>产量综合能耗量等</w:t>
            </w:r>
          </w:p>
        </w:tc>
        <w:tc>
          <w:tcPr>
            <w:tcW w:w="1417" w:type="dxa"/>
            <w:vAlign w:val="center"/>
          </w:tcPr>
          <w:p w14:paraId="0B1BBEA1">
            <w:pPr>
              <w:pageBreakBefore w:val="0"/>
              <w:kinsoku/>
              <w:overflowPunct/>
              <w:topLinePunct w:val="0"/>
              <w:bidi w:val="0"/>
              <w:adjustRightInd w:val="0"/>
              <w:snapToGrid w:val="0"/>
              <w:rPr>
                <w:rFonts w:hint="eastAsia" w:ascii="仿宋" w:hAnsi="仿宋" w:eastAsia="仿宋" w:cs="仿宋"/>
                <w:b/>
                <w:sz w:val="28"/>
                <w:szCs w:val="28"/>
              </w:rPr>
            </w:pPr>
            <w:r>
              <w:rPr>
                <w:rFonts w:hint="eastAsia" w:ascii="仿宋" w:hAnsi="仿宋" w:eastAsia="仿宋" w:cs="仿宋"/>
                <w:kern w:val="0"/>
                <w:sz w:val="28"/>
                <w:szCs w:val="28"/>
              </w:rPr>
              <w:t>执行《中华人民共和国计量法》等法规</w:t>
            </w:r>
          </w:p>
        </w:tc>
        <w:tc>
          <w:tcPr>
            <w:tcW w:w="1134" w:type="dxa"/>
            <w:vAlign w:val="center"/>
          </w:tcPr>
          <w:p w14:paraId="7B4EFDE8">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实施监测</w:t>
            </w:r>
          </w:p>
        </w:tc>
        <w:tc>
          <w:tcPr>
            <w:tcW w:w="3028" w:type="dxa"/>
            <w:vAlign w:val="center"/>
          </w:tcPr>
          <w:p w14:paraId="5B82BAEF">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1）公司积极引进一流的制造设备；</w:t>
            </w:r>
          </w:p>
          <w:p w14:paraId="49E4E744">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2）合理调配生产及用电等。</w:t>
            </w:r>
          </w:p>
        </w:tc>
      </w:tr>
    </w:tbl>
    <w:p w14:paraId="050ADC5B">
      <w:pPr>
        <w:keepNext w:val="0"/>
        <w:keepLines w:val="0"/>
        <w:pageBreakBefore w:val="0"/>
        <w:widowControl w:val="0"/>
        <w:kinsoku/>
        <w:wordWrap/>
        <w:overflowPunct/>
        <w:topLinePunct w:val="0"/>
        <w:autoSpaceDE/>
        <w:autoSpaceDN/>
        <w:bidi w:val="0"/>
        <w:adjustRightInd/>
        <w:snapToGrid w:val="0"/>
        <w:spacing w:line="600" w:lineRule="exact"/>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一）注重能源节约</w:t>
      </w:r>
    </w:p>
    <w:p w14:paraId="7DC8C68E">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公司持续深化</w:t>
      </w:r>
      <w:r>
        <w:rPr>
          <w:rFonts w:hint="eastAsia" w:ascii="仿宋" w:hAnsi="仿宋" w:eastAsia="仿宋" w:cs="仿宋"/>
          <w:sz w:val="28"/>
          <w:szCs w:val="28"/>
        </w:rPr>
        <w:t>绿色工厂示范企业建设，公司制定了绿色工厂中长期规划及年度目标，各部门严格按照公司制定的目标，根据各部门实际条件安排相应的工作方式和方法，确保各年度目标顺利完成，使企业绿色发展水平、能源利用效率不断提高，单位产品综合能耗、单位产品废水量、单位产品废弃物产生量逐年下降。</w:t>
      </w:r>
    </w:p>
    <w:p w14:paraId="008B5953">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公司按照全生命周期的理念，在产品设计开发阶段系统考虑原材料获取、生产制造、包装运输、使用维护和回收处理等各个环节对环境资源造成的影响，力求产品在全生命周期中最大限度降低资源消耗、尽可能少用或不用含有有害物质的原材料，减少污染物产生和排放，从而实现环境保护的活动。</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8474"/>
      </w:tblGrid>
      <w:tr w14:paraId="2017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07" w:type="dxa"/>
            <w:shd w:val="clear" w:color="auto" w:fill="0070C0"/>
            <w:vAlign w:val="center"/>
          </w:tcPr>
          <w:p w14:paraId="79A53CBF">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p>
          <w:p w14:paraId="0A567E67">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属性</w:t>
            </w:r>
          </w:p>
        </w:tc>
        <w:tc>
          <w:tcPr>
            <w:tcW w:w="8700" w:type="dxa"/>
            <w:shd w:val="clear" w:color="auto" w:fill="0070C0"/>
            <w:vAlign w:val="center"/>
          </w:tcPr>
          <w:p w14:paraId="02F16805">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案例、说明</w:t>
            </w:r>
          </w:p>
        </w:tc>
      </w:tr>
      <w:tr w14:paraId="2B49F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6" w:hRule="atLeast"/>
          <w:jc w:val="center"/>
        </w:trPr>
        <w:tc>
          <w:tcPr>
            <w:tcW w:w="707" w:type="dxa"/>
            <w:vAlign w:val="center"/>
          </w:tcPr>
          <w:p w14:paraId="723FBCBF">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资源属性</w:t>
            </w:r>
          </w:p>
        </w:tc>
        <w:tc>
          <w:tcPr>
            <w:tcW w:w="8700" w:type="dxa"/>
            <w:vAlign w:val="center"/>
          </w:tcPr>
          <w:p w14:paraId="5E3C2A8B">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1）利用新型复合铜球碗材料，APF-400吨压力机由36吨降到32吨，采用有限元分析辅助设计，故障率降低30%；大型重载高速压力机APH-440，滑块采用三点结构，4圆导柱导向，合理布置承载筋，重量仅为八面导轨结构的2/3以下，动平衡结构也得以减轻，提升了设备稳定性，减轻了振动；设计的铝箔专机，减少纸盒餐具污染和浪费，并且铝盒餐具使用后可以生产铝箔纸等；</w:t>
            </w:r>
          </w:p>
          <w:p w14:paraId="388FDF3D">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2）对所有产品进行规范及模块化设计，建立通用件库，降低产品品种，在保证性能的情况下减少使用材料的种类及用量，提高使用材料的利用率；</w:t>
            </w:r>
          </w:p>
          <w:p w14:paraId="0089351C">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3）利用十大标志性产业链牵头单位平台，联合上下游企业，打通链栓，减少研发等资源重复浪费，科学合理的研发产线，减低成本、提升生产效率。</w:t>
            </w:r>
          </w:p>
        </w:tc>
      </w:tr>
      <w:tr w14:paraId="03CC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7" w:hRule="atLeast"/>
          <w:jc w:val="center"/>
        </w:trPr>
        <w:tc>
          <w:tcPr>
            <w:tcW w:w="707" w:type="dxa"/>
            <w:vAlign w:val="center"/>
          </w:tcPr>
          <w:p w14:paraId="5A25C83C">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能源属性</w:t>
            </w:r>
          </w:p>
        </w:tc>
        <w:tc>
          <w:tcPr>
            <w:tcW w:w="8700" w:type="dxa"/>
            <w:vAlign w:val="center"/>
          </w:tcPr>
          <w:p w14:paraId="49BF15CD">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1）电容储能：伺服压力机产品采用电容储能，减少对电网冲击，同时进行能源的回收利用；</w:t>
            </w:r>
          </w:p>
          <w:p w14:paraId="0926738C">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2）采用变频、伺服驱动等模式，在水、电、气等能源方面的管理节省，例如空压机采用高效电机，变频器和智慧能源管理系统。特别是通过能效管理系统，对主要用能设施、设备进行能耗分项计量，然后用智能化系统进行节约与改善，经宁波市产品质量监督检验研究院检测，比行业内通用设备，节省能源20%以上。</w:t>
            </w:r>
          </w:p>
        </w:tc>
      </w:tr>
      <w:tr w14:paraId="71A5B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707" w:type="dxa"/>
            <w:vAlign w:val="center"/>
          </w:tcPr>
          <w:p w14:paraId="3E15B9E8">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环境属性</w:t>
            </w:r>
          </w:p>
        </w:tc>
        <w:tc>
          <w:tcPr>
            <w:tcW w:w="8700" w:type="dxa"/>
            <w:vAlign w:val="center"/>
          </w:tcPr>
          <w:p w14:paraId="0ECFC2B9">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噪声：产品的噪声应满足GB 26483-2011 机械压力机噪声限值的要求。应采用适当设计降低产品噪声，如：选采用精密磨削齿轮，压力机采用减震结构。</w:t>
            </w:r>
          </w:p>
        </w:tc>
      </w:tr>
      <w:tr w14:paraId="6E9B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707" w:type="dxa"/>
            <w:vAlign w:val="center"/>
          </w:tcPr>
          <w:p w14:paraId="7B515BDD">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产品属性</w:t>
            </w:r>
          </w:p>
        </w:tc>
        <w:tc>
          <w:tcPr>
            <w:tcW w:w="8700" w:type="dxa"/>
            <w:vAlign w:val="center"/>
          </w:tcPr>
          <w:p w14:paraId="5CF7B9DC">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1）可靠性：产品中关键部件应结合工艺考虑安全裕度和尺寸偏差。采用负载及偏载精度调整法，解决设备的假精度稳定性问题，提升设备可靠性；</w:t>
            </w:r>
          </w:p>
          <w:p w14:paraId="197C7D1F">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2）安全性：产品的安全性应满足GB27607-2011机械压力机 安全技术要求的要求；</w:t>
            </w:r>
          </w:p>
          <w:p w14:paraId="5BD20770">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3）使用寿命：采用适当的产品设计方案，在满足环保、安全、能效要求的情况下，采用远程运维模式，提醒保养，提高设备寿命，降低人员出差等维护成本。</w:t>
            </w:r>
          </w:p>
        </w:tc>
      </w:tr>
    </w:tbl>
    <w:p w14:paraId="595FAB11">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（二）注重清洁生产过程</w:t>
      </w:r>
    </w:p>
    <w:p w14:paraId="58D19CDF">
      <w:pPr>
        <w:pStyle w:val="2"/>
        <w:keepNext w:val="0"/>
        <w:keepLines w:val="0"/>
        <w:pageBreakBefore w:val="0"/>
        <w:widowControl w:val="0"/>
        <w:kinsoku/>
        <w:wordWrap/>
        <w:overflowPunct/>
        <w:topLinePunct w:val="0"/>
        <w:autoSpaceDE/>
        <w:autoSpaceDN/>
        <w:bidi w:val="0"/>
        <w:adjustRightInd/>
        <w:spacing w:after="0"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易锻</w:t>
      </w:r>
      <w:r>
        <w:rPr>
          <w:rFonts w:hint="eastAsia" w:ascii="仿宋" w:hAnsi="仿宋" w:eastAsia="仿宋" w:cs="仿宋"/>
          <w:sz w:val="28"/>
          <w:szCs w:val="28"/>
        </w:rPr>
        <w:t>秉承绿色发展理念，按照用地集约化、原料无害化、生产洁净化、能源低碳化、废物资源化等绿色工厂创建要求，对能耗较大、造成资源浪费的设施进行了技术改造。</w:t>
      </w:r>
    </w:p>
    <w:p w14:paraId="23FF4C80">
      <w:pPr>
        <w:pStyle w:val="2"/>
        <w:keepNext w:val="0"/>
        <w:keepLines w:val="0"/>
        <w:pageBreakBefore w:val="0"/>
        <w:widowControl w:val="0"/>
        <w:kinsoku/>
        <w:wordWrap/>
        <w:overflowPunct/>
        <w:topLinePunct w:val="0"/>
        <w:autoSpaceDE/>
        <w:autoSpaceDN/>
        <w:bidi w:val="0"/>
        <w:adjustRightInd/>
        <w:spacing w:after="0" w:line="600" w:lineRule="exact"/>
        <w:textAlignment w:val="auto"/>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1、</w:t>
      </w:r>
      <w:r>
        <w:rPr>
          <w:rFonts w:hint="eastAsia" w:ascii="仿宋" w:hAnsi="仿宋" w:eastAsia="仿宋" w:cs="仿宋"/>
          <w:b/>
          <w:bCs/>
          <w:sz w:val="28"/>
          <w:szCs w:val="28"/>
        </w:rPr>
        <w:t>工艺节能：</w:t>
      </w:r>
      <w:r>
        <w:rPr>
          <w:rFonts w:hint="eastAsia" w:ascii="仿宋" w:hAnsi="仿宋" w:eastAsia="仿宋" w:cs="仿宋"/>
          <w:sz w:val="28"/>
          <w:szCs w:val="28"/>
          <w:lang w:val="en-US" w:eastAsia="zh-CN"/>
        </w:rPr>
        <w:t xml:space="preserve">机加工工序采用五面体加工，一次装夹可以加工五个面，避免了多次加紧引起的重复定位误差，提高生产加工精度，同时，一次装夹也减少了加工时间。本项目整个工艺线路采用全自动化控制流水线，保证工艺流程的流畅性。在设备选型中注重设备的自动化水平，各工序生产线的设备均采用PLC控制，相比同类型生产企业工艺技术连贯，设备自动化水平高。 </w:t>
      </w:r>
    </w:p>
    <w:p w14:paraId="158B5442">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2、设备节能：</w:t>
      </w:r>
      <w:r>
        <w:rPr>
          <w:rFonts w:hint="eastAsia" w:ascii="仿宋" w:hAnsi="仿宋" w:eastAsia="仿宋" w:cs="仿宋"/>
          <w:sz w:val="28"/>
          <w:szCs w:val="28"/>
          <w:lang w:val="en-US" w:eastAsia="zh-CN"/>
        </w:rPr>
        <w:t>动力设备采用较先进的型号，优化设备规格，避免大马拉小车的状况，保证生产运行的低能耗。设备选型、设备规格的确定兼顾投资与动力消耗，采用投资相对小，能耗相对低的设备。选用的台车式电阻炉炉衬采用全硅酸铝耐火纤维制品，耐温最高可达750℃，经过特殊施工组合成折叠块，通过锚固件最后组装成炉衬，耐火纤维折叠块厚度为200mm，背部衬50mm厚纤维毯，总厚度250mm，纤维压缩量≥40%，分层接缝错开布置，采用全耐火纤维的炉体，其重量仅为耐火砖炉体的 1/20，但可节能25～30%。台车式电阻炉加热用电量为48.36万 kWh，与使用耐火砖的电阻炉相比，节电率为25%，年节电16.12万 kWh，折算成标煤为45.94ce。选用变频螺杆式空压机，通过变频技术控制螺杆式空压机的工作运行，不同设备供气压力要求相差较大的，通过压力变送器测得管网压力值，实施分压分网分别供气。压缩空气的管道口径与用气量匹配、管道走向短而直等，减少了压缩空气输送中的阻力损失，杜绝输送管道的泄漏现象，提高了压缩空气的利用率。</w:t>
      </w:r>
    </w:p>
    <w:p w14:paraId="5601D1E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3、</w:t>
      </w:r>
      <w:r>
        <w:rPr>
          <w:rFonts w:hint="eastAsia" w:ascii="仿宋" w:hAnsi="仿宋" w:eastAsia="仿宋" w:cs="仿宋"/>
          <w:b/>
          <w:bCs/>
          <w:sz w:val="28"/>
          <w:szCs w:val="28"/>
        </w:rPr>
        <w:t>可再生能源利用：</w:t>
      </w:r>
      <w:r>
        <w:rPr>
          <w:rFonts w:hint="eastAsia" w:ascii="仿宋" w:hAnsi="仿宋" w:eastAsia="仿宋" w:cs="仿宋"/>
          <w:spacing w:val="3"/>
          <w:sz w:val="28"/>
          <w:szCs w:val="28"/>
        </w:rPr>
        <w:t>厂区实施1.67</w:t>
      </w:r>
      <w:r>
        <w:rPr>
          <w:rFonts w:hint="eastAsia" w:ascii="仿宋" w:hAnsi="仿宋" w:eastAsia="仿宋" w:cs="仿宋"/>
          <w:sz w:val="28"/>
          <w:szCs w:val="28"/>
        </w:rPr>
        <w:t>MW</w:t>
      </w:r>
      <w:r>
        <w:rPr>
          <w:rFonts w:hint="eastAsia" w:ascii="仿宋" w:hAnsi="仿宋" w:eastAsia="仿宋" w:cs="仿宋"/>
          <w:spacing w:val="3"/>
          <w:sz w:val="28"/>
          <w:szCs w:val="28"/>
        </w:rPr>
        <w:t>屋顶光伏发电系统（其中一厂为0.47</w:t>
      </w:r>
      <w:r>
        <w:rPr>
          <w:rFonts w:hint="eastAsia" w:ascii="仿宋" w:hAnsi="仿宋" w:eastAsia="仿宋" w:cs="仿宋"/>
          <w:sz w:val="28"/>
          <w:szCs w:val="28"/>
        </w:rPr>
        <w:t>MW</w:t>
      </w:r>
      <w:r>
        <w:rPr>
          <w:rFonts w:hint="eastAsia" w:ascii="仿宋" w:hAnsi="仿宋" w:eastAsia="仿宋" w:cs="仿宋"/>
          <w:spacing w:val="3"/>
          <w:sz w:val="28"/>
          <w:szCs w:val="28"/>
        </w:rPr>
        <w:t>光伏系统，二厂</w:t>
      </w:r>
      <w:r>
        <w:rPr>
          <w:rFonts w:hint="eastAsia" w:ascii="仿宋" w:hAnsi="仿宋" w:eastAsia="仿宋" w:cs="仿宋"/>
          <w:spacing w:val="2"/>
          <w:sz w:val="28"/>
          <w:szCs w:val="28"/>
        </w:rPr>
        <w:t xml:space="preserve">  </w:t>
      </w:r>
      <w:r>
        <w:rPr>
          <w:rFonts w:hint="eastAsia" w:ascii="仿宋" w:hAnsi="仿宋" w:eastAsia="仿宋" w:cs="仿宋"/>
          <w:sz w:val="28"/>
          <w:szCs w:val="28"/>
        </w:rPr>
        <w:t>为1.2MW光伏系统</w:t>
      </w:r>
      <w:r>
        <w:rPr>
          <w:rFonts w:hint="eastAsia" w:ascii="仿宋" w:hAnsi="仿宋" w:eastAsia="仿宋" w:cs="仿宋"/>
          <w:spacing w:val="5"/>
          <w:sz w:val="28"/>
          <w:szCs w:val="28"/>
        </w:rPr>
        <w:t>），</w:t>
      </w:r>
      <w:r>
        <w:rPr>
          <w:rFonts w:hint="eastAsia" w:ascii="仿宋" w:hAnsi="仿宋" w:eastAsia="仿宋" w:cs="仿宋"/>
          <w:sz w:val="28"/>
          <w:szCs w:val="28"/>
        </w:rPr>
        <w:t>二厂光伏系统2023年4月正式投入使用</w:t>
      </w:r>
      <w:r>
        <w:rPr>
          <w:rFonts w:hint="eastAsia" w:ascii="仿宋" w:hAnsi="仿宋" w:eastAsia="仿宋" w:cs="仿宋"/>
          <w:sz w:val="28"/>
          <w:szCs w:val="28"/>
          <w:lang w:eastAsia="zh-CN"/>
        </w:rPr>
        <w:t>。</w:t>
      </w:r>
      <w:r>
        <w:rPr>
          <w:rFonts w:hint="eastAsia" w:ascii="仿宋" w:hAnsi="仿宋" w:eastAsia="仿宋" w:cs="仿宋"/>
          <w:spacing w:val="-1"/>
          <w:sz w:val="28"/>
          <w:szCs w:val="28"/>
        </w:rPr>
        <w:t>202</w:t>
      </w:r>
      <w:r>
        <w:rPr>
          <w:rFonts w:hint="eastAsia" w:ascii="仿宋" w:hAnsi="仿宋" w:eastAsia="仿宋" w:cs="仿宋"/>
          <w:spacing w:val="-1"/>
          <w:sz w:val="28"/>
          <w:szCs w:val="28"/>
          <w:lang w:val="en-US" w:eastAsia="zh-CN"/>
        </w:rPr>
        <w:t>4</w:t>
      </w:r>
      <w:r>
        <w:rPr>
          <w:rFonts w:hint="eastAsia" w:ascii="仿宋" w:hAnsi="仿宋" w:eastAsia="仿宋" w:cs="仿宋"/>
          <w:spacing w:val="-1"/>
          <w:sz w:val="28"/>
          <w:szCs w:val="28"/>
        </w:rPr>
        <w:t>年企业全厂</w:t>
      </w:r>
      <w:r>
        <w:rPr>
          <w:rFonts w:hint="eastAsia" w:ascii="仿宋" w:hAnsi="仿宋" w:eastAsia="仿宋" w:cs="仿宋"/>
          <w:spacing w:val="3"/>
          <w:sz w:val="28"/>
          <w:szCs w:val="28"/>
        </w:rPr>
        <w:t>光伏发电量为91.18万</w:t>
      </w:r>
      <w:r>
        <w:rPr>
          <w:rFonts w:hint="eastAsia" w:ascii="仿宋" w:hAnsi="仿宋" w:eastAsia="仿宋" w:cs="仿宋"/>
          <w:sz w:val="28"/>
          <w:szCs w:val="28"/>
        </w:rPr>
        <w:t>kWh</w:t>
      </w:r>
      <w:r>
        <w:rPr>
          <w:rFonts w:hint="eastAsia" w:ascii="仿宋" w:hAnsi="仿宋" w:eastAsia="仿宋" w:cs="仿宋"/>
          <w:spacing w:val="3"/>
          <w:sz w:val="28"/>
          <w:szCs w:val="28"/>
        </w:rPr>
        <w:t>，企业202</w:t>
      </w:r>
      <w:r>
        <w:rPr>
          <w:rFonts w:hint="eastAsia" w:ascii="仿宋" w:hAnsi="仿宋" w:eastAsia="仿宋" w:cs="仿宋"/>
          <w:spacing w:val="3"/>
          <w:sz w:val="28"/>
          <w:szCs w:val="28"/>
          <w:lang w:val="en-US" w:eastAsia="zh-CN"/>
        </w:rPr>
        <w:t>4</w:t>
      </w:r>
      <w:r>
        <w:rPr>
          <w:rFonts w:hint="eastAsia" w:ascii="仿宋" w:hAnsi="仿宋" w:eastAsia="仿宋" w:cs="仿宋"/>
          <w:spacing w:val="3"/>
          <w:sz w:val="28"/>
          <w:szCs w:val="28"/>
        </w:rPr>
        <w:t>年建筑总能耗为146.19万</w:t>
      </w:r>
      <w:r>
        <w:rPr>
          <w:rFonts w:hint="eastAsia" w:ascii="仿宋" w:hAnsi="仿宋" w:eastAsia="仿宋" w:cs="仿宋"/>
          <w:sz w:val="28"/>
          <w:szCs w:val="28"/>
        </w:rPr>
        <w:t>kWh</w:t>
      </w:r>
      <w:r>
        <w:rPr>
          <w:rFonts w:hint="eastAsia" w:ascii="仿宋" w:hAnsi="仿宋" w:eastAsia="仿宋" w:cs="仿宋"/>
          <w:spacing w:val="3"/>
          <w:sz w:val="28"/>
          <w:szCs w:val="28"/>
        </w:rPr>
        <w:t>，通过计算，</w:t>
      </w:r>
      <w:r>
        <w:rPr>
          <w:rFonts w:hint="eastAsia" w:ascii="仿宋" w:hAnsi="仿宋" w:eastAsia="仿宋" w:cs="仿宋"/>
          <w:spacing w:val="4"/>
          <w:sz w:val="28"/>
          <w:szCs w:val="28"/>
        </w:rPr>
        <w:t xml:space="preserve"> </w:t>
      </w:r>
      <w:r>
        <w:rPr>
          <w:rFonts w:hint="eastAsia" w:ascii="仿宋" w:hAnsi="仿宋" w:eastAsia="仿宋" w:cs="仿宋"/>
          <w:spacing w:val="3"/>
          <w:sz w:val="28"/>
          <w:szCs w:val="28"/>
        </w:rPr>
        <w:t>可再生能源的使用占建筑总电耗的比例为62.37%，</w:t>
      </w:r>
      <w:r>
        <w:rPr>
          <w:rFonts w:hint="eastAsia" w:ascii="仿宋" w:hAnsi="仿宋" w:eastAsia="仿宋" w:cs="仿宋"/>
          <w:sz w:val="28"/>
          <w:szCs w:val="28"/>
        </w:rPr>
        <w:t>减少了不可再生能源的投入。</w:t>
      </w:r>
    </w:p>
    <w:p w14:paraId="7DD4AC8F">
      <w:pPr>
        <w:pStyle w:val="2"/>
        <w:keepNext w:val="0"/>
        <w:keepLines w:val="0"/>
        <w:pageBreakBefore w:val="0"/>
        <w:widowControl w:val="0"/>
        <w:kinsoku/>
        <w:wordWrap/>
        <w:overflowPunct/>
        <w:topLinePunct w:val="0"/>
        <w:autoSpaceDE/>
        <w:autoSpaceDN/>
        <w:bidi w:val="0"/>
        <w:adjustRightInd/>
        <w:spacing w:after="0" w:line="600" w:lineRule="exact"/>
        <w:textAlignment w:val="auto"/>
        <w:rPr>
          <w:rFonts w:hint="eastAsia" w:ascii="仿宋" w:hAnsi="仿宋" w:eastAsia="仿宋" w:cs="仿宋"/>
          <w:sz w:val="28"/>
          <w:szCs w:val="28"/>
          <w:lang w:eastAsia="zh-CN"/>
        </w:rPr>
      </w:pPr>
      <w:r>
        <w:rPr>
          <w:rFonts w:hint="eastAsia" w:ascii="仿宋" w:hAnsi="仿宋" w:eastAsia="仿宋" w:cs="仿宋"/>
          <w:b/>
          <w:bCs/>
          <w:sz w:val="28"/>
          <w:szCs w:val="28"/>
          <w:lang w:val="en-US" w:eastAsia="zh-CN"/>
        </w:rPr>
        <w:t>4、绿色＋智能制造：</w:t>
      </w:r>
      <w:r>
        <w:rPr>
          <w:rFonts w:hint="eastAsia" w:ascii="仿宋" w:hAnsi="仿宋" w:eastAsia="仿宋" w:cs="仿宋"/>
          <w:sz w:val="28"/>
          <w:szCs w:val="28"/>
          <w:lang w:eastAsia="zh-CN"/>
        </w:rPr>
        <w:t>公司立足于自主研发的</w:t>
      </w:r>
      <w:r>
        <w:rPr>
          <w:rFonts w:hint="eastAsia" w:ascii="仿宋" w:hAnsi="仿宋" w:eastAsia="仿宋" w:cs="仿宋"/>
          <w:sz w:val="28"/>
          <w:szCs w:val="28"/>
        </w:rPr>
        <w:t>智能</w:t>
      </w:r>
      <w:r>
        <w:rPr>
          <w:rFonts w:hint="eastAsia" w:ascii="仿宋" w:hAnsi="仿宋" w:eastAsia="仿宋" w:cs="仿宋"/>
          <w:sz w:val="28"/>
          <w:szCs w:val="28"/>
          <w:lang w:val="en-US" w:eastAsia="zh-CN"/>
        </w:rPr>
        <w:t>数字化冲压装备管理</w:t>
      </w:r>
      <w:r>
        <w:rPr>
          <w:rFonts w:hint="eastAsia" w:ascii="仿宋" w:hAnsi="仿宋" w:eastAsia="仿宋" w:cs="仿宋"/>
          <w:sz w:val="28"/>
          <w:szCs w:val="28"/>
        </w:rPr>
        <w:t>系统</w:t>
      </w:r>
      <w:r>
        <w:rPr>
          <w:rFonts w:hint="eastAsia" w:ascii="仿宋" w:hAnsi="仿宋" w:eastAsia="仿宋" w:cs="仿宋"/>
          <w:sz w:val="28"/>
          <w:szCs w:val="28"/>
          <w:lang w:eastAsia="zh-CN"/>
        </w:rPr>
        <w:t>，结合</w:t>
      </w:r>
      <w:r>
        <w:rPr>
          <w:rFonts w:hint="eastAsia" w:ascii="仿宋" w:hAnsi="仿宋" w:eastAsia="仿宋" w:cs="仿宋"/>
          <w:sz w:val="28"/>
          <w:szCs w:val="28"/>
          <w:lang w:val="en-US" w:eastAsia="zh-CN"/>
        </w:rPr>
        <w:t>5G芯片、物联网技术</w:t>
      </w:r>
      <w:r>
        <w:rPr>
          <w:rFonts w:hint="eastAsia" w:ascii="仿宋" w:hAnsi="仿宋" w:eastAsia="仿宋" w:cs="仿宋"/>
          <w:sz w:val="28"/>
          <w:szCs w:val="28"/>
          <w:lang w:eastAsia="zh-CN"/>
        </w:rPr>
        <w:t>与数字孪生技术研发了多型号智能精密压力机，实现数字化和工业设计</w:t>
      </w:r>
      <w:r>
        <w:rPr>
          <w:rFonts w:hint="eastAsia" w:ascii="仿宋" w:hAnsi="仿宋" w:eastAsia="仿宋" w:cs="仿宋"/>
          <w:sz w:val="28"/>
          <w:szCs w:val="28"/>
          <w:lang w:val="en-US" w:eastAsia="zh-CN"/>
        </w:rPr>
        <w:t>融合</w:t>
      </w:r>
      <w:r>
        <w:rPr>
          <w:rFonts w:hint="eastAsia" w:ascii="仿宋" w:hAnsi="仿宋" w:eastAsia="仿宋" w:cs="仿宋"/>
          <w:sz w:val="28"/>
          <w:szCs w:val="28"/>
          <w:lang w:eastAsia="zh-CN"/>
        </w:rPr>
        <w:t>，加快业务系统向云端迁移。</w:t>
      </w:r>
    </w:p>
    <w:p w14:paraId="7E36F487">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三）公司</w:t>
      </w:r>
      <w:r>
        <w:rPr>
          <w:rFonts w:hint="eastAsia" w:ascii="仿宋" w:hAnsi="仿宋" w:eastAsia="仿宋" w:cs="仿宋"/>
          <w:b/>
          <w:bCs/>
          <w:sz w:val="28"/>
          <w:szCs w:val="28"/>
        </w:rPr>
        <w:t>对公众的隐忧保持敏感、积极采取应对措施</w:t>
      </w:r>
    </w:p>
    <w:p w14:paraId="3AFD1B02">
      <w:pPr>
        <w:keepNext w:val="0"/>
        <w:keepLines w:val="0"/>
        <w:pageBreakBefore w:val="0"/>
        <w:widowControl w:val="0"/>
        <w:kinsoku/>
        <w:wordWrap/>
        <w:overflowPunct/>
        <w:topLinePunct w:val="0"/>
        <w:autoSpaceDE/>
        <w:autoSpaceDN/>
        <w:bidi w:val="0"/>
        <w:adjustRightInd/>
        <w:snapToGrid w:val="0"/>
        <w:spacing w:line="600" w:lineRule="exact"/>
        <w:ind w:firstLine="548" w:firstLineChars="196"/>
        <w:textAlignment w:val="auto"/>
        <w:rPr>
          <w:rFonts w:hint="eastAsia" w:ascii="仿宋" w:hAnsi="仿宋" w:eastAsia="仿宋" w:cs="仿宋"/>
          <w:b/>
          <w:bCs/>
          <w:sz w:val="28"/>
          <w:szCs w:val="28"/>
        </w:rPr>
      </w:pPr>
      <w:r>
        <w:rPr>
          <w:rFonts w:hint="eastAsia" w:ascii="仿宋" w:hAnsi="仿宋" w:eastAsia="仿宋" w:cs="仿宋"/>
          <w:sz w:val="28"/>
          <w:szCs w:val="28"/>
        </w:rPr>
        <w:t>公司通过对顾客及相关方的市场调查、内部数据分析、行业协会交流、政府交流及员工主动报告等多种渠道获悉公众隐忧，并分析原因、制定措施。</w:t>
      </w:r>
    </w:p>
    <w:p w14:paraId="0665F57E">
      <w:pPr>
        <w:pStyle w:val="20"/>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公众隐忧产生原因及措施</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2878"/>
        <w:gridCol w:w="5065"/>
        <w:gridCol w:w="13"/>
      </w:tblGrid>
      <w:tr w14:paraId="13A04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blHeader/>
          <w:jc w:val="center"/>
        </w:trPr>
        <w:tc>
          <w:tcPr>
            <w:tcW w:w="1252" w:type="dxa"/>
            <w:shd w:val="clear" w:color="auto" w:fill="0070C0"/>
            <w:vAlign w:val="center"/>
          </w:tcPr>
          <w:p w14:paraId="47FB62C9">
            <w:pPr>
              <w:pageBreakBefore w:val="0"/>
              <w:kinsoku/>
              <w:overflowPunct/>
              <w:topLinePunct w:val="0"/>
              <w:bidi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类别</w:t>
            </w:r>
          </w:p>
        </w:tc>
        <w:tc>
          <w:tcPr>
            <w:tcW w:w="2959" w:type="dxa"/>
            <w:shd w:val="clear" w:color="auto" w:fill="0070C0"/>
            <w:vAlign w:val="center"/>
          </w:tcPr>
          <w:p w14:paraId="052696F3">
            <w:pPr>
              <w:pageBreakBefore w:val="0"/>
              <w:kinsoku/>
              <w:overflowPunct/>
              <w:topLinePunct w:val="0"/>
              <w:bidi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隐忧</w:t>
            </w:r>
          </w:p>
        </w:tc>
        <w:tc>
          <w:tcPr>
            <w:tcW w:w="5224" w:type="dxa"/>
            <w:gridSpan w:val="2"/>
            <w:shd w:val="clear" w:color="auto" w:fill="0070C0"/>
            <w:vAlign w:val="center"/>
          </w:tcPr>
          <w:p w14:paraId="751F7956">
            <w:pPr>
              <w:pageBreakBefore w:val="0"/>
              <w:kinsoku/>
              <w:overflowPunct/>
              <w:topLinePunct w:val="0"/>
              <w:bidi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应对措施</w:t>
            </w:r>
          </w:p>
        </w:tc>
      </w:tr>
      <w:tr w14:paraId="34BF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52" w:type="dxa"/>
            <w:vMerge w:val="restart"/>
            <w:vAlign w:val="center"/>
          </w:tcPr>
          <w:p w14:paraId="55682D83">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环境保护</w:t>
            </w:r>
          </w:p>
        </w:tc>
        <w:tc>
          <w:tcPr>
            <w:tcW w:w="2959" w:type="dxa"/>
            <w:vMerge w:val="restart"/>
            <w:vAlign w:val="center"/>
          </w:tcPr>
          <w:p w14:paraId="41853FCA">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粉尘污染、噪声影响居民生活，</w:t>
            </w:r>
            <w:r>
              <w:rPr>
                <w:rFonts w:hint="eastAsia" w:ascii="仿宋" w:hAnsi="仿宋" w:eastAsia="仿宋" w:cs="仿宋"/>
                <w:kern w:val="0"/>
                <w:sz w:val="28"/>
                <w:szCs w:val="28"/>
              </w:rPr>
              <w:t>废弃物处理过程中产生的环境污染物质，会释放或渗漏到周围环境中，从而对人类健康和生态环境造成了危害。</w:t>
            </w:r>
          </w:p>
        </w:tc>
        <w:tc>
          <w:tcPr>
            <w:tcW w:w="5224" w:type="dxa"/>
            <w:gridSpan w:val="2"/>
            <w:vAlign w:val="center"/>
          </w:tcPr>
          <w:p w14:paraId="1B93B296">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更新相关设备，按照《工业企业厂界环境噪声标准》、ISO14001环境管理体系实施。</w:t>
            </w:r>
          </w:p>
        </w:tc>
      </w:tr>
      <w:tr w14:paraId="5682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 w:hRule="atLeast"/>
          <w:jc w:val="center"/>
        </w:trPr>
        <w:tc>
          <w:tcPr>
            <w:tcW w:w="1252" w:type="dxa"/>
            <w:vMerge w:val="continue"/>
            <w:vAlign w:val="center"/>
          </w:tcPr>
          <w:p w14:paraId="60B1295D">
            <w:pPr>
              <w:pageBreakBefore w:val="0"/>
              <w:kinsoku/>
              <w:overflowPunct/>
              <w:topLinePunct w:val="0"/>
              <w:bidi w:val="0"/>
              <w:snapToGrid w:val="0"/>
              <w:rPr>
                <w:rFonts w:hint="eastAsia" w:ascii="仿宋" w:hAnsi="仿宋" w:eastAsia="仿宋" w:cs="仿宋"/>
                <w:sz w:val="28"/>
                <w:szCs w:val="28"/>
              </w:rPr>
            </w:pPr>
          </w:p>
        </w:tc>
        <w:tc>
          <w:tcPr>
            <w:tcW w:w="2959" w:type="dxa"/>
            <w:vMerge w:val="continue"/>
            <w:vAlign w:val="center"/>
          </w:tcPr>
          <w:p w14:paraId="271E8EEF">
            <w:pPr>
              <w:pageBreakBefore w:val="0"/>
              <w:kinsoku/>
              <w:overflowPunct/>
              <w:topLinePunct w:val="0"/>
              <w:bidi w:val="0"/>
              <w:snapToGrid w:val="0"/>
              <w:rPr>
                <w:rFonts w:hint="eastAsia" w:ascii="仿宋" w:hAnsi="仿宋" w:eastAsia="仿宋" w:cs="仿宋"/>
                <w:sz w:val="28"/>
                <w:szCs w:val="28"/>
              </w:rPr>
            </w:pPr>
          </w:p>
        </w:tc>
        <w:tc>
          <w:tcPr>
            <w:tcW w:w="5210" w:type="dxa"/>
            <w:vAlign w:val="center"/>
          </w:tcPr>
          <w:p w14:paraId="295FE892">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从分析工艺流程和物料平衡开始，确定废弃物产生的部位，分析原因，提出削减废弃物和节能增效的具体方案。</w:t>
            </w:r>
          </w:p>
        </w:tc>
      </w:tr>
      <w:tr w14:paraId="7176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52" w:type="dxa"/>
            <w:vAlign w:val="center"/>
          </w:tcPr>
          <w:p w14:paraId="7300F26C">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节能降耗</w:t>
            </w:r>
          </w:p>
        </w:tc>
        <w:tc>
          <w:tcPr>
            <w:tcW w:w="2959" w:type="dxa"/>
            <w:vAlign w:val="center"/>
          </w:tcPr>
          <w:p w14:paraId="2E8074EF">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增加生产成本、浪费能源资源、影响可持续发展。</w:t>
            </w:r>
          </w:p>
        </w:tc>
        <w:tc>
          <w:tcPr>
            <w:tcW w:w="5224" w:type="dxa"/>
            <w:gridSpan w:val="2"/>
            <w:vAlign w:val="center"/>
          </w:tcPr>
          <w:p w14:paraId="62999709">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推广利用节能新技术、新材料、新设备、新工艺。</w:t>
            </w:r>
          </w:p>
        </w:tc>
      </w:tr>
      <w:tr w14:paraId="5ADA1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52" w:type="dxa"/>
            <w:vAlign w:val="center"/>
          </w:tcPr>
          <w:p w14:paraId="32D19D99">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产品安全</w:t>
            </w:r>
          </w:p>
        </w:tc>
        <w:tc>
          <w:tcPr>
            <w:tcW w:w="2959" w:type="dxa"/>
            <w:vAlign w:val="center"/>
          </w:tcPr>
          <w:p w14:paraId="160F5055">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阻燃产品不达标。</w:t>
            </w:r>
          </w:p>
        </w:tc>
        <w:tc>
          <w:tcPr>
            <w:tcW w:w="5224" w:type="dxa"/>
            <w:gridSpan w:val="2"/>
            <w:vAlign w:val="center"/>
          </w:tcPr>
          <w:p w14:paraId="7B228C53">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严格按照ISO9001质量管理体系要求进行产品质量管理，运用先进质量管理工具，建立产品追溯体系。</w:t>
            </w:r>
          </w:p>
        </w:tc>
      </w:tr>
      <w:tr w14:paraId="0BC8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52" w:type="dxa"/>
            <w:vMerge w:val="restart"/>
            <w:vAlign w:val="center"/>
          </w:tcPr>
          <w:p w14:paraId="47A95EC4">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安全生产</w:t>
            </w:r>
          </w:p>
        </w:tc>
        <w:tc>
          <w:tcPr>
            <w:tcW w:w="2959" w:type="dxa"/>
            <w:vAlign w:val="center"/>
          </w:tcPr>
          <w:p w14:paraId="09E3BFD6">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安全事故。</w:t>
            </w:r>
          </w:p>
        </w:tc>
        <w:tc>
          <w:tcPr>
            <w:tcW w:w="5224" w:type="dxa"/>
            <w:gridSpan w:val="2"/>
            <w:vAlign w:val="center"/>
          </w:tcPr>
          <w:p w14:paraId="297A095E">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制定管理制度和应急预案，采取有效的控制和治理措施；制定安全管理制度；消防演练；组建安应急救援小组；进行安全检查与考核。</w:t>
            </w:r>
          </w:p>
        </w:tc>
      </w:tr>
      <w:tr w14:paraId="6C3B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 w:hRule="atLeast"/>
          <w:jc w:val="center"/>
        </w:trPr>
        <w:tc>
          <w:tcPr>
            <w:tcW w:w="1252" w:type="dxa"/>
            <w:vMerge w:val="continue"/>
            <w:vAlign w:val="center"/>
          </w:tcPr>
          <w:p w14:paraId="5946901C">
            <w:pPr>
              <w:pageBreakBefore w:val="0"/>
              <w:kinsoku/>
              <w:overflowPunct/>
              <w:topLinePunct w:val="0"/>
              <w:bidi w:val="0"/>
              <w:snapToGrid w:val="0"/>
              <w:rPr>
                <w:rFonts w:hint="eastAsia" w:ascii="仿宋" w:hAnsi="仿宋" w:eastAsia="仿宋" w:cs="仿宋"/>
                <w:sz w:val="28"/>
                <w:szCs w:val="28"/>
              </w:rPr>
            </w:pPr>
          </w:p>
        </w:tc>
        <w:tc>
          <w:tcPr>
            <w:tcW w:w="2959" w:type="dxa"/>
            <w:vAlign w:val="center"/>
          </w:tcPr>
          <w:p w14:paraId="2B9274FE">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职业健康。</w:t>
            </w:r>
          </w:p>
        </w:tc>
        <w:tc>
          <w:tcPr>
            <w:tcW w:w="5210" w:type="dxa"/>
            <w:vAlign w:val="center"/>
          </w:tcPr>
          <w:p w14:paraId="511C6D39">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每年安排员工体检，发放劳保用品，注重特殊岗位员工职业健康安全维护。</w:t>
            </w:r>
          </w:p>
        </w:tc>
      </w:tr>
      <w:tr w14:paraId="744C5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52" w:type="dxa"/>
            <w:vAlign w:val="center"/>
          </w:tcPr>
          <w:p w14:paraId="035ACE1C">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公共卫生</w:t>
            </w:r>
          </w:p>
        </w:tc>
        <w:tc>
          <w:tcPr>
            <w:tcW w:w="2959" w:type="dxa"/>
            <w:vAlign w:val="center"/>
          </w:tcPr>
          <w:p w14:paraId="5A8BC72B">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生活垃圾、固废等会影响员工的 健康及周边环境。</w:t>
            </w:r>
          </w:p>
        </w:tc>
        <w:tc>
          <w:tcPr>
            <w:tcW w:w="5224" w:type="dxa"/>
            <w:gridSpan w:val="2"/>
            <w:vAlign w:val="center"/>
          </w:tcPr>
          <w:p w14:paraId="6999F0B3">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制定员工行为手册和准则，对生活垃圾进行分类管理并按照相关要求进行处理。</w:t>
            </w:r>
          </w:p>
        </w:tc>
      </w:tr>
    </w:tbl>
    <w:p w14:paraId="3C94B4DE">
      <w:pPr>
        <w:pageBreakBefore w:val="0"/>
        <w:kinsoku/>
        <w:overflowPunct/>
        <w:topLinePunct w:val="0"/>
        <w:bidi w:val="0"/>
        <w:snapToGrid w:val="0"/>
        <w:spacing w:line="276" w:lineRule="auto"/>
        <w:rPr>
          <w:rFonts w:hint="eastAsia" w:ascii="仿宋" w:hAnsi="仿宋" w:eastAsia="仿宋" w:cs="仿宋"/>
          <w:b/>
          <w:sz w:val="28"/>
          <w:szCs w:val="28"/>
          <w:lang w:eastAsia="zh-CN"/>
        </w:rPr>
      </w:pPr>
    </w:p>
    <w:p w14:paraId="4EDDC80B">
      <w:pPr>
        <w:pageBreakBefore w:val="0"/>
        <w:kinsoku/>
        <w:overflowPunct/>
        <w:topLinePunct w:val="0"/>
        <w:bidi w:val="0"/>
        <w:snapToGrid w:val="0"/>
        <w:spacing w:line="276" w:lineRule="auto"/>
        <w:rPr>
          <w:rFonts w:hint="eastAsia" w:ascii="仿宋" w:hAnsi="仿宋" w:eastAsia="仿宋" w:cs="仿宋"/>
          <w:b/>
          <w:sz w:val="28"/>
          <w:szCs w:val="28"/>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四）环境</w:t>
      </w:r>
      <w:r>
        <w:rPr>
          <w:rFonts w:hint="eastAsia" w:ascii="仿宋" w:hAnsi="仿宋" w:eastAsia="仿宋" w:cs="仿宋"/>
          <w:b/>
          <w:sz w:val="28"/>
          <w:szCs w:val="28"/>
        </w:rPr>
        <w:t>相关风险方面的关键过程及绩效指标</w:t>
      </w:r>
    </w:p>
    <w:p w14:paraId="10DC5447">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公司建立了质量、环境、职业健康安全和测量保证体系，产品通过了CE等认证，在节能降耗方面采取技术改造措施，通过新技术、新工艺、新产品的应用，淘汰高耗低效设备，改革落后生产工艺，开展节能宣传培训等能源管理措施。</w:t>
      </w:r>
    </w:p>
    <w:p w14:paraId="0FC170F7">
      <w:pPr>
        <w:pStyle w:val="20"/>
        <w:keepNext w:val="0"/>
        <w:keepLines w:val="0"/>
        <w:pageBreakBefore w:val="0"/>
        <w:widowControl w:val="0"/>
        <w:numPr>
          <w:ilvl w:val="0"/>
          <w:numId w:val="8"/>
        </w:numPr>
        <w:kinsoku/>
        <w:wordWrap/>
        <w:overflowPunct/>
        <w:topLinePunct w:val="0"/>
        <w:autoSpaceDE/>
        <w:autoSpaceDN/>
        <w:bidi w:val="0"/>
        <w:adjustRightInd/>
        <w:snapToGrid w:val="0"/>
        <w:spacing w:line="600" w:lineRule="exact"/>
        <w:ind w:firstLineChars="0"/>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公共责任关键过程的监测指标</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85" w:type="dxa"/>
          <w:bottom w:w="0" w:type="dxa"/>
          <w:right w:w="85" w:type="dxa"/>
        </w:tblCellMar>
      </w:tblPr>
      <w:tblGrid>
        <w:gridCol w:w="1182"/>
        <w:gridCol w:w="1243"/>
        <w:gridCol w:w="1416"/>
        <w:gridCol w:w="2761"/>
        <w:gridCol w:w="2526"/>
      </w:tblGrid>
      <w:tr w14:paraId="22C3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4" w:hRule="atLeast"/>
          <w:tblHeader/>
          <w:jc w:val="center"/>
        </w:trPr>
        <w:tc>
          <w:tcPr>
            <w:tcW w:w="1231" w:type="dxa"/>
            <w:shd w:val="clear" w:color="auto" w:fill="0070C0"/>
            <w:vAlign w:val="center"/>
          </w:tcPr>
          <w:p w14:paraId="092B5416">
            <w:pPr>
              <w:pStyle w:val="28"/>
              <w:pageBreakBefore w:val="0"/>
              <w:kinsoku/>
              <w:overflowPunct/>
              <w:topLinePunct w:val="0"/>
              <w:bidi w:val="0"/>
              <w:snapToGrid w:val="0"/>
              <w:jc w:val="center"/>
              <w:rPr>
                <w:rFonts w:hint="eastAsia"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控制项目</w:t>
            </w:r>
          </w:p>
        </w:tc>
        <w:tc>
          <w:tcPr>
            <w:tcW w:w="1295" w:type="dxa"/>
            <w:shd w:val="clear" w:color="auto" w:fill="0070C0"/>
            <w:vAlign w:val="center"/>
          </w:tcPr>
          <w:p w14:paraId="2ED6D9E2">
            <w:pPr>
              <w:pStyle w:val="28"/>
              <w:pageBreakBefore w:val="0"/>
              <w:kinsoku/>
              <w:overflowPunct/>
              <w:topLinePunct w:val="0"/>
              <w:bidi w:val="0"/>
              <w:snapToGrid w:val="0"/>
              <w:jc w:val="center"/>
              <w:rPr>
                <w:rFonts w:hint="eastAsia"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控制因素</w:t>
            </w:r>
          </w:p>
        </w:tc>
        <w:tc>
          <w:tcPr>
            <w:tcW w:w="1480" w:type="dxa"/>
            <w:shd w:val="clear" w:color="auto" w:fill="0070C0"/>
            <w:vAlign w:val="center"/>
          </w:tcPr>
          <w:p w14:paraId="095C1529">
            <w:pPr>
              <w:pStyle w:val="28"/>
              <w:pageBreakBefore w:val="0"/>
              <w:kinsoku/>
              <w:overflowPunct/>
              <w:topLinePunct w:val="0"/>
              <w:bidi w:val="0"/>
              <w:snapToGrid w:val="0"/>
              <w:jc w:val="center"/>
              <w:rPr>
                <w:rFonts w:hint="eastAsia"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相关风险</w:t>
            </w:r>
          </w:p>
        </w:tc>
        <w:tc>
          <w:tcPr>
            <w:tcW w:w="2835" w:type="dxa"/>
            <w:shd w:val="clear" w:color="auto" w:fill="0070C0"/>
            <w:vAlign w:val="center"/>
          </w:tcPr>
          <w:p w14:paraId="721E9344">
            <w:pPr>
              <w:pStyle w:val="28"/>
              <w:pageBreakBefore w:val="0"/>
              <w:kinsoku/>
              <w:overflowPunct/>
              <w:topLinePunct w:val="0"/>
              <w:bidi w:val="0"/>
              <w:snapToGrid w:val="0"/>
              <w:jc w:val="center"/>
              <w:rPr>
                <w:rFonts w:hint="eastAsia"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标准要求</w:t>
            </w:r>
          </w:p>
        </w:tc>
        <w:tc>
          <w:tcPr>
            <w:tcW w:w="2645" w:type="dxa"/>
            <w:shd w:val="clear" w:color="auto" w:fill="0070C0"/>
            <w:vAlign w:val="center"/>
          </w:tcPr>
          <w:p w14:paraId="55A79FD8">
            <w:pPr>
              <w:pStyle w:val="28"/>
              <w:pageBreakBefore w:val="0"/>
              <w:kinsoku/>
              <w:overflowPunct/>
              <w:topLinePunct w:val="0"/>
              <w:bidi w:val="0"/>
              <w:snapToGrid w:val="0"/>
              <w:jc w:val="center"/>
              <w:rPr>
                <w:rFonts w:hint="eastAsia"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控制过程及方法</w:t>
            </w:r>
          </w:p>
        </w:tc>
      </w:tr>
      <w:tr w14:paraId="3F55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1231" w:type="dxa"/>
            <w:shd w:val="clear" w:color="auto" w:fill="auto"/>
            <w:vAlign w:val="center"/>
          </w:tcPr>
          <w:p w14:paraId="0393BD89">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产品安全</w:t>
            </w:r>
          </w:p>
        </w:tc>
        <w:tc>
          <w:tcPr>
            <w:tcW w:w="1295" w:type="dxa"/>
            <w:shd w:val="clear" w:color="auto" w:fill="auto"/>
            <w:vAlign w:val="center"/>
          </w:tcPr>
          <w:p w14:paraId="7E80DD33">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lang w:eastAsia="zh-CN"/>
              </w:rPr>
              <w:t>电气</w:t>
            </w:r>
            <w:r>
              <w:rPr>
                <w:rFonts w:hint="eastAsia" w:ascii="仿宋" w:hAnsi="仿宋" w:eastAsia="仿宋" w:cs="仿宋"/>
                <w:sz w:val="28"/>
                <w:szCs w:val="28"/>
              </w:rPr>
              <w:t>安全等</w:t>
            </w:r>
          </w:p>
        </w:tc>
        <w:tc>
          <w:tcPr>
            <w:tcW w:w="1480" w:type="dxa"/>
            <w:shd w:val="clear" w:color="auto" w:fill="auto"/>
            <w:vAlign w:val="center"/>
          </w:tcPr>
          <w:p w14:paraId="608EB1C4">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人</w:t>
            </w:r>
            <w:r>
              <w:rPr>
                <w:rFonts w:hint="eastAsia" w:ascii="仿宋" w:hAnsi="仿宋" w:eastAsia="仿宋" w:cs="仿宋"/>
                <w:spacing w:val="-79"/>
                <w:sz w:val="28"/>
                <w:szCs w:val="28"/>
              </w:rPr>
              <w:t xml:space="preserve"> </w:t>
            </w:r>
            <w:r>
              <w:rPr>
                <w:rFonts w:hint="eastAsia" w:ascii="仿宋" w:hAnsi="仿宋" w:eastAsia="仿宋" w:cs="仿宋"/>
                <w:sz w:val="28"/>
                <w:szCs w:val="28"/>
              </w:rPr>
              <w:t>员</w:t>
            </w:r>
            <w:r>
              <w:rPr>
                <w:rFonts w:hint="eastAsia" w:ascii="仿宋" w:hAnsi="仿宋" w:eastAsia="仿宋" w:cs="仿宋"/>
                <w:spacing w:val="-82"/>
                <w:sz w:val="28"/>
                <w:szCs w:val="28"/>
              </w:rPr>
              <w:t xml:space="preserve"> </w:t>
            </w:r>
            <w:r>
              <w:rPr>
                <w:rFonts w:hint="eastAsia" w:ascii="仿宋" w:hAnsi="仿宋" w:eastAsia="仿宋" w:cs="仿宋"/>
                <w:sz w:val="28"/>
                <w:szCs w:val="28"/>
              </w:rPr>
              <w:t>财</w:t>
            </w:r>
            <w:r>
              <w:rPr>
                <w:rFonts w:hint="eastAsia" w:ascii="仿宋" w:hAnsi="仿宋" w:eastAsia="仿宋" w:cs="仿宋"/>
                <w:spacing w:val="-79"/>
                <w:sz w:val="28"/>
                <w:szCs w:val="28"/>
              </w:rPr>
              <w:t xml:space="preserve"> </w:t>
            </w:r>
            <w:r>
              <w:rPr>
                <w:rFonts w:hint="eastAsia" w:ascii="仿宋" w:hAnsi="仿宋" w:eastAsia="仿宋" w:cs="仿宋"/>
                <w:sz w:val="28"/>
                <w:szCs w:val="28"/>
              </w:rPr>
              <w:t>产损失</w:t>
            </w:r>
          </w:p>
        </w:tc>
        <w:tc>
          <w:tcPr>
            <w:tcW w:w="2835" w:type="dxa"/>
            <w:shd w:val="clear" w:color="auto" w:fill="auto"/>
            <w:vAlign w:val="center"/>
          </w:tcPr>
          <w:p w14:paraId="2F724664">
            <w:pPr>
              <w:pStyle w:val="28"/>
              <w:pageBreakBefore w:val="0"/>
              <w:kinsoku/>
              <w:overflowPunct/>
              <w:topLinePunct w:val="0"/>
              <w:bidi w:val="0"/>
              <w:snapToGrid w:val="0"/>
              <w:jc w:val="both"/>
              <w:rPr>
                <w:rFonts w:hint="eastAsia" w:ascii="仿宋" w:hAnsi="仿宋" w:eastAsia="仿宋" w:cs="仿宋"/>
                <w:sz w:val="28"/>
                <w:szCs w:val="28"/>
              </w:rPr>
            </w:pPr>
            <w:r>
              <w:rPr>
                <w:rFonts w:hint="eastAsia" w:ascii="仿宋" w:hAnsi="仿宋" w:eastAsia="仿宋" w:cs="仿宋"/>
                <w:spacing w:val="-2"/>
                <w:sz w:val="28"/>
                <w:szCs w:val="28"/>
              </w:rPr>
              <w:t>IEC</w:t>
            </w:r>
            <w:r>
              <w:rPr>
                <w:rFonts w:hint="eastAsia" w:ascii="仿宋" w:hAnsi="仿宋" w:eastAsia="仿宋" w:cs="仿宋"/>
                <w:spacing w:val="1"/>
                <w:sz w:val="28"/>
                <w:szCs w:val="28"/>
              </w:rPr>
              <w:t xml:space="preserve"> </w:t>
            </w:r>
            <w:r>
              <w:rPr>
                <w:rFonts w:hint="eastAsia" w:ascii="仿宋" w:hAnsi="仿宋" w:eastAsia="仿宋" w:cs="仿宋"/>
                <w:spacing w:val="-1"/>
                <w:sz w:val="28"/>
                <w:szCs w:val="28"/>
              </w:rPr>
              <w:t>60204-1</w:t>
            </w:r>
          </w:p>
        </w:tc>
        <w:tc>
          <w:tcPr>
            <w:tcW w:w="2645" w:type="dxa"/>
            <w:shd w:val="clear" w:color="auto" w:fill="auto"/>
            <w:vAlign w:val="center"/>
          </w:tcPr>
          <w:p w14:paraId="6780AA09">
            <w:pPr>
              <w:pStyle w:val="28"/>
              <w:pageBreakBefore w:val="0"/>
              <w:kinsoku/>
              <w:overflowPunct/>
              <w:topLinePunct w:val="0"/>
              <w:bidi w:val="0"/>
              <w:snapToGrid w:val="0"/>
              <w:jc w:val="both"/>
              <w:rPr>
                <w:rFonts w:hint="eastAsia" w:ascii="仿宋" w:hAnsi="仿宋" w:eastAsia="仿宋" w:cs="仿宋"/>
                <w:sz w:val="28"/>
                <w:szCs w:val="28"/>
              </w:rPr>
            </w:pPr>
            <w:r>
              <w:rPr>
                <w:rFonts w:hint="eastAsia" w:ascii="仿宋" w:hAnsi="仿宋" w:eastAsia="仿宋" w:cs="仿宋"/>
                <w:spacing w:val="-1"/>
                <w:sz w:val="28"/>
                <w:szCs w:val="28"/>
              </w:rPr>
              <w:t>严格执行标准</w:t>
            </w:r>
            <w:r>
              <w:rPr>
                <w:rFonts w:hint="eastAsia" w:ascii="仿宋" w:hAnsi="仿宋" w:eastAsia="仿宋" w:cs="仿宋"/>
                <w:spacing w:val="-1"/>
                <w:sz w:val="28"/>
                <w:szCs w:val="28"/>
                <w:lang w:eastAsia="zh-CN"/>
              </w:rPr>
              <w:t>。</w:t>
            </w:r>
          </w:p>
        </w:tc>
      </w:tr>
      <w:tr w14:paraId="4E4B1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35" w:hRule="atLeast"/>
          <w:jc w:val="center"/>
        </w:trPr>
        <w:tc>
          <w:tcPr>
            <w:tcW w:w="1231" w:type="dxa"/>
            <w:vMerge w:val="restart"/>
            <w:shd w:val="clear" w:color="auto" w:fill="auto"/>
            <w:vAlign w:val="center"/>
          </w:tcPr>
          <w:p w14:paraId="1F9AA312">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环境保护</w:t>
            </w:r>
          </w:p>
        </w:tc>
        <w:tc>
          <w:tcPr>
            <w:tcW w:w="1295" w:type="dxa"/>
            <w:shd w:val="clear" w:color="auto" w:fill="auto"/>
            <w:vAlign w:val="center"/>
          </w:tcPr>
          <w:p w14:paraId="4B232835">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污水</w:t>
            </w:r>
          </w:p>
        </w:tc>
        <w:tc>
          <w:tcPr>
            <w:tcW w:w="1480" w:type="dxa"/>
            <w:shd w:val="clear" w:color="auto" w:fill="auto"/>
            <w:vAlign w:val="center"/>
          </w:tcPr>
          <w:p w14:paraId="4A99C75B">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pacing w:val="-1"/>
                <w:sz w:val="28"/>
                <w:szCs w:val="28"/>
              </w:rPr>
              <w:t>水体污染</w:t>
            </w:r>
          </w:p>
        </w:tc>
        <w:tc>
          <w:tcPr>
            <w:tcW w:w="2835" w:type="dxa"/>
            <w:shd w:val="clear" w:color="auto" w:fill="auto"/>
            <w:vAlign w:val="center"/>
          </w:tcPr>
          <w:p w14:paraId="1E49E1FB">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pH：6-9</w:t>
            </w:r>
          </w:p>
          <w:p w14:paraId="7E57E544">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五日生化需氧量≤300 mg/L</w:t>
            </w:r>
          </w:p>
          <w:p w14:paraId="018E4E81">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化学需氧量≤300 mg/L</w:t>
            </w:r>
          </w:p>
          <w:p w14:paraId="0D05718F">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悬浮物≤400 mg/L</w:t>
            </w:r>
          </w:p>
          <w:p w14:paraId="05409664">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动植物油类≤100 mg/L</w:t>
            </w:r>
          </w:p>
          <w:p w14:paraId="382ABE2A">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氨氮≤35 mg/L</w:t>
            </w:r>
          </w:p>
          <w:p w14:paraId="1F8329DB">
            <w:pPr>
              <w:pageBreakBefore w:val="0"/>
              <w:kinsoku/>
              <w:overflowPunct/>
              <w:topLinePunct w:val="0"/>
              <w:bidi w:val="0"/>
              <w:snapToGrid w:val="0"/>
              <w:rPr>
                <w:rFonts w:hint="eastAsia" w:ascii="仿宋" w:hAnsi="仿宋" w:eastAsia="仿宋" w:cs="仿宋"/>
                <w:w w:val="90"/>
                <w:sz w:val="28"/>
                <w:szCs w:val="28"/>
              </w:rPr>
            </w:pPr>
            <w:r>
              <w:rPr>
                <w:rFonts w:hint="eastAsia" w:ascii="仿宋" w:hAnsi="仿宋" w:eastAsia="仿宋" w:cs="仿宋"/>
                <w:sz w:val="28"/>
                <w:szCs w:val="28"/>
              </w:rPr>
              <w:t>总磷≤8 mg/L</w:t>
            </w:r>
          </w:p>
        </w:tc>
        <w:tc>
          <w:tcPr>
            <w:tcW w:w="2645" w:type="dxa"/>
            <w:shd w:val="clear" w:color="auto" w:fill="auto"/>
            <w:vAlign w:val="center"/>
          </w:tcPr>
          <w:p w14:paraId="167440CB">
            <w:pPr>
              <w:pStyle w:val="28"/>
              <w:pageBreakBefore w:val="0"/>
              <w:kinsoku/>
              <w:overflowPunct/>
              <w:topLinePunct w:val="0"/>
              <w:bidi w:val="0"/>
              <w:snapToGrid w:val="0"/>
              <w:jc w:val="both"/>
              <w:rPr>
                <w:rFonts w:hint="eastAsia" w:ascii="仿宋" w:hAnsi="仿宋" w:eastAsia="仿宋" w:cs="仿宋"/>
                <w:sz w:val="28"/>
                <w:szCs w:val="28"/>
                <w:lang w:eastAsia="zh-CN"/>
              </w:rPr>
            </w:pPr>
            <w:r>
              <w:rPr>
                <w:rFonts w:hint="eastAsia" w:ascii="仿宋" w:hAnsi="仿宋" w:eastAsia="仿宋" w:cs="仿宋"/>
                <w:spacing w:val="13"/>
                <w:sz w:val="28"/>
                <w:szCs w:val="28"/>
                <w:lang w:eastAsia="zh-CN"/>
              </w:rPr>
              <w:t>纳管接入工业区污水处理</w:t>
            </w:r>
            <w:r>
              <w:rPr>
                <w:rFonts w:hint="eastAsia" w:ascii="仿宋" w:hAnsi="仿宋" w:eastAsia="仿宋" w:cs="仿宋"/>
                <w:sz w:val="28"/>
                <w:szCs w:val="28"/>
                <w:lang w:eastAsia="zh-CN"/>
              </w:rPr>
              <w:t>厂。</w:t>
            </w:r>
          </w:p>
        </w:tc>
      </w:tr>
      <w:tr w14:paraId="3C7C0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011" w:hRule="atLeast"/>
          <w:jc w:val="center"/>
        </w:trPr>
        <w:tc>
          <w:tcPr>
            <w:tcW w:w="1231" w:type="dxa"/>
            <w:vMerge w:val="continue"/>
            <w:shd w:val="clear" w:color="auto" w:fill="auto"/>
            <w:vAlign w:val="center"/>
          </w:tcPr>
          <w:p w14:paraId="2230FA6A">
            <w:pPr>
              <w:pStyle w:val="28"/>
              <w:pageBreakBefore w:val="0"/>
              <w:kinsoku/>
              <w:overflowPunct/>
              <w:topLinePunct w:val="0"/>
              <w:bidi w:val="0"/>
              <w:snapToGrid w:val="0"/>
              <w:jc w:val="center"/>
              <w:rPr>
                <w:rFonts w:hint="eastAsia" w:ascii="仿宋" w:hAnsi="仿宋" w:eastAsia="仿宋" w:cs="仿宋"/>
                <w:sz w:val="28"/>
                <w:szCs w:val="28"/>
                <w:lang w:eastAsia="zh-CN"/>
              </w:rPr>
            </w:pPr>
          </w:p>
        </w:tc>
        <w:tc>
          <w:tcPr>
            <w:tcW w:w="1295" w:type="dxa"/>
            <w:shd w:val="clear" w:color="auto" w:fill="auto"/>
            <w:vAlign w:val="center"/>
          </w:tcPr>
          <w:p w14:paraId="035E8035">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噪声</w:t>
            </w:r>
          </w:p>
        </w:tc>
        <w:tc>
          <w:tcPr>
            <w:tcW w:w="1480" w:type="dxa"/>
            <w:shd w:val="clear" w:color="auto" w:fill="auto"/>
            <w:vAlign w:val="center"/>
          </w:tcPr>
          <w:p w14:paraId="5F508338">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干</w:t>
            </w:r>
            <w:r>
              <w:rPr>
                <w:rFonts w:hint="eastAsia" w:ascii="仿宋" w:hAnsi="仿宋" w:eastAsia="仿宋" w:cs="仿宋"/>
                <w:spacing w:val="-79"/>
                <w:sz w:val="28"/>
                <w:szCs w:val="28"/>
              </w:rPr>
              <w:t xml:space="preserve"> </w:t>
            </w:r>
            <w:r>
              <w:rPr>
                <w:rFonts w:hint="eastAsia" w:ascii="仿宋" w:hAnsi="仿宋" w:eastAsia="仿宋" w:cs="仿宋"/>
                <w:sz w:val="28"/>
                <w:szCs w:val="28"/>
              </w:rPr>
              <w:t>扰</w:t>
            </w:r>
            <w:r>
              <w:rPr>
                <w:rFonts w:hint="eastAsia" w:ascii="仿宋" w:hAnsi="仿宋" w:eastAsia="仿宋" w:cs="仿宋"/>
                <w:spacing w:val="-82"/>
                <w:sz w:val="28"/>
                <w:szCs w:val="28"/>
              </w:rPr>
              <w:t xml:space="preserve"> </w:t>
            </w:r>
            <w:r>
              <w:rPr>
                <w:rFonts w:hint="eastAsia" w:ascii="仿宋" w:hAnsi="仿宋" w:eastAsia="仿宋" w:cs="仿宋"/>
                <w:sz w:val="28"/>
                <w:szCs w:val="28"/>
              </w:rPr>
              <w:t>居</w:t>
            </w:r>
            <w:r>
              <w:rPr>
                <w:rFonts w:hint="eastAsia" w:ascii="仿宋" w:hAnsi="仿宋" w:eastAsia="仿宋" w:cs="仿宋"/>
                <w:spacing w:val="-79"/>
                <w:sz w:val="28"/>
                <w:szCs w:val="28"/>
              </w:rPr>
              <w:t xml:space="preserve"> </w:t>
            </w:r>
            <w:r>
              <w:rPr>
                <w:rFonts w:hint="eastAsia" w:ascii="仿宋" w:hAnsi="仿宋" w:eastAsia="仿宋" w:cs="仿宋"/>
                <w:sz w:val="28"/>
                <w:szCs w:val="28"/>
              </w:rPr>
              <w:t>民生活</w:t>
            </w:r>
          </w:p>
        </w:tc>
        <w:tc>
          <w:tcPr>
            <w:tcW w:w="2835" w:type="dxa"/>
            <w:shd w:val="clear" w:color="auto" w:fill="auto"/>
            <w:vAlign w:val="center"/>
          </w:tcPr>
          <w:p w14:paraId="36C06747">
            <w:pPr>
              <w:pStyle w:val="28"/>
              <w:pageBreakBefore w:val="0"/>
              <w:kinsoku/>
              <w:overflowPunct/>
              <w:topLinePunct w:val="0"/>
              <w:bidi w:val="0"/>
              <w:snapToGrid w:val="0"/>
              <w:ind w:right="420"/>
              <w:jc w:val="both"/>
              <w:rPr>
                <w:rFonts w:hint="eastAsia" w:ascii="仿宋" w:hAnsi="仿宋" w:eastAsia="仿宋" w:cs="仿宋"/>
                <w:spacing w:val="-2"/>
                <w:sz w:val="28"/>
                <w:szCs w:val="28"/>
                <w:lang w:eastAsia="zh-CN"/>
              </w:rPr>
            </w:pPr>
            <w:r>
              <w:rPr>
                <w:rFonts w:hint="eastAsia" w:ascii="仿宋" w:hAnsi="仿宋" w:eastAsia="仿宋" w:cs="仿宋"/>
                <w:sz w:val="28"/>
                <w:szCs w:val="28"/>
                <w:lang w:eastAsia="zh-CN"/>
              </w:rPr>
              <w:t>昼间</w:t>
            </w:r>
            <w:r>
              <w:rPr>
                <w:rFonts w:hint="eastAsia" w:ascii="仿宋" w:hAnsi="仿宋" w:eastAsia="仿宋" w:cs="仿宋"/>
                <w:spacing w:val="-2"/>
                <w:sz w:val="28"/>
                <w:szCs w:val="28"/>
                <w:lang w:eastAsia="zh-CN"/>
              </w:rPr>
              <w:t>60dBA</w:t>
            </w:r>
          </w:p>
          <w:p w14:paraId="5DEF1A09">
            <w:pPr>
              <w:pStyle w:val="28"/>
              <w:pageBreakBefore w:val="0"/>
              <w:kinsoku/>
              <w:overflowPunct/>
              <w:topLinePunct w:val="0"/>
              <w:bidi w:val="0"/>
              <w:snapToGrid w:val="0"/>
              <w:ind w:right="42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夜间</w:t>
            </w:r>
            <w:r>
              <w:rPr>
                <w:rFonts w:hint="eastAsia" w:ascii="仿宋" w:hAnsi="仿宋" w:eastAsia="仿宋" w:cs="仿宋"/>
                <w:spacing w:val="-53"/>
                <w:sz w:val="28"/>
                <w:szCs w:val="28"/>
                <w:lang w:eastAsia="zh-CN"/>
              </w:rPr>
              <w:t xml:space="preserve"> </w:t>
            </w:r>
            <w:r>
              <w:rPr>
                <w:rFonts w:hint="eastAsia" w:ascii="仿宋" w:hAnsi="仿宋" w:eastAsia="仿宋" w:cs="仿宋"/>
                <w:spacing w:val="-1"/>
                <w:sz w:val="28"/>
                <w:szCs w:val="28"/>
                <w:lang w:eastAsia="zh-CN"/>
              </w:rPr>
              <w:t>50dBA</w:t>
            </w:r>
          </w:p>
        </w:tc>
        <w:tc>
          <w:tcPr>
            <w:tcW w:w="2645" w:type="dxa"/>
            <w:shd w:val="clear" w:color="auto" w:fill="auto"/>
            <w:vAlign w:val="center"/>
          </w:tcPr>
          <w:p w14:paraId="6DF98757">
            <w:pPr>
              <w:pStyle w:val="28"/>
              <w:pageBreakBefore w:val="0"/>
              <w:kinsoku/>
              <w:overflowPunct/>
              <w:topLinePunct w:val="0"/>
              <w:bidi w:val="0"/>
              <w:snapToGrid w:val="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制定</w:t>
            </w:r>
            <w:r>
              <w:rPr>
                <w:rFonts w:hint="eastAsia" w:ascii="仿宋" w:hAnsi="仿宋" w:eastAsia="仿宋" w:cs="仿宋"/>
                <w:spacing w:val="-3"/>
                <w:sz w:val="28"/>
                <w:szCs w:val="28"/>
                <w:lang w:eastAsia="zh-CN"/>
              </w:rPr>
              <w:t>文</w:t>
            </w:r>
            <w:r>
              <w:rPr>
                <w:rFonts w:hint="eastAsia" w:ascii="仿宋" w:hAnsi="仿宋" w:eastAsia="仿宋" w:cs="仿宋"/>
                <w:sz w:val="28"/>
                <w:szCs w:val="28"/>
                <w:lang w:eastAsia="zh-CN"/>
              </w:rPr>
              <w:t>件</w:t>
            </w:r>
            <w:r>
              <w:rPr>
                <w:rFonts w:hint="eastAsia" w:ascii="仿宋" w:hAnsi="仿宋" w:eastAsia="仿宋" w:cs="仿宋"/>
                <w:spacing w:val="-3"/>
                <w:sz w:val="28"/>
                <w:szCs w:val="28"/>
                <w:lang w:eastAsia="zh-CN"/>
              </w:rPr>
              <w:t>控</w:t>
            </w:r>
            <w:r>
              <w:rPr>
                <w:rFonts w:hint="eastAsia" w:ascii="仿宋" w:hAnsi="仿宋" w:eastAsia="仿宋" w:cs="仿宋"/>
                <w:sz w:val="28"/>
                <w:szCs w:val="28"/>
                <w:lang w:eastAsia="zh-CN"/>
              </w:rPr>
              <w:t>制</w:t>
            </w:r>
            <w:r>
              <w:rPr>
                <w:rFonts w:hint="eastAsia" w:ascii="仿宋" w:hAnsi="仿宋" w:eastAsia="仿宋" w:cs="仿宋"/>
                <w:spacing w:val="-46"/>
                <w:sz w:val="28"/>
                <w:szCs w:val="28"/>
                <w:lang w:eastAsia="zh-CN"/>
              </w:rPr>
              <w:t>，</w:t>
            </w:r>
            <w:r>
              <w:rPr>
                <w:rFonts w:hint="eastAsia" w:ascii="仿宋" w:hAnsi="仿宋" w:eastAsia="仿宋" w:cs="仿宋"/>
                <w:sz w:val="28"/>
                <w:szCs w:val="28"/>
                <w:lang w:eastAsia="zh-CN"/>
              </w:rPr>
              <w:t>按</w:t>
            </w:r>
            <w:r>
              <w:rPr>
                <w:rFonts w:hint="eastAsia" w:ascii="仿宋" w:hAnsi="仿宋" w:eastAsia="仿宋" w:cs="仿宋"/>
                <w:spacing w:val="-3"/>
                <w:sz w:val="28"/>
                <w:szCs w:val="28"/>
                <w:lang w:eastAsia="zh-CN"/>
              </w:rPr>
              <w:t>环</w:t>
            </w:r>
            <w:r>
              <w:rPr>
                <w:rFonts w:hint="eastAsia" w:ascii="仿宋" w:hAnsi="仿宋" w:eastAsia="仿宋" w:cs="仿宋"/>
                <w:sz w:val="28"/>
                <w:szCs w:val="28"/>
                <w:lang w:eastAsia="zh-CN"/>
              </w:rPr>
              <w:t>境</w:t>
            </w:r>
            <w:r>
              <w:rPr>
                <w:rFonts w:hint="eastAsia" w:ascii="仿宋" w:hAnsi="仿宋" w:eastAsia="仿宋" w:cs="仿宋"/>
                <w:spacing w:val="-3"/>
                <w:sz w:val="28"/>
                <w:szCs w:val="28"/>
                <w:lang w:eastAsia="zh-CN"/>
              </w:rPr>
              <w:t>管</w:t>
            </w:r>
            <w:r>
              <w:rPr>
                <w:rFonts w:hint="eastAsia" w:ascii="仿宋" w:hAnsi="仿宋" w:eastAsia="仿宋" w:cs="仿宋"/>
                <w:sz w:val="28"/>
                <w:szCs w:val="28"/>
                <w:lang w:eastAsia="zh-CN"/>
              </w:rPr>
              <w:t>理</w:t>
            </w:r>
            <w:r>
              <w:rPr>
                <w:rFonts w:hint="eastAsia" w:ascii="仿宋" w:hAnsi="仿宋" w:eastAsia="仿宋" w:cs="仿宋"/>
                <w:spacing w:val="-1"/>
                <w:sz w:val="28"/>
                <w:szCs w:val="28"/>
                <w:lang w:eastAsia="zh-CN"/>
              </w:rPr>
              <w:t>体系标准管理。</w:t>
            </w:r>
          </w:p>
        </w:tc>
      </w:tr>
      <w:tr w14:paraId="3BB2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77" w:hRule="atLeast"/>
          <w:jc w:val="center"/>
        </w:trPr>
        <w:tc>
          <w:tcPr>
            <w:tcW w:w="1231" w:type="dxa"/>
            <w:vMerge w:val="continue"/>
            <w:shd w:val="clear" w:color="auto" w:fill="auto"/>
            <w:vAlign w:val="center"/>
          </w:tcPr>
          <w:p w14:paraId="7475879B">
            <w:pPr>
              <w:pStyle w:val="28"/>
              <w:pageBreakBefore w:val="0"/>
              <w:kinsoku/>
              <w:overflowPunct/>
              <w:topLinePunct w:val="0"/>
              <w:bidi w:val="0"/>
              <w:snapToGrid w:val="0"/>
              <w:jc w:val="center"/>
              <w:rPr>
                <w:rFonts w:hint="eastAsia" w:ascii="仿宋" w:hAnsi="仿宋" w:eastAsia="仿宋" w:cs="仿宋"/>
                <w:sz w:val="28"/>
                <w:szCs w:val="28"/>
                <w:lang w:eastAsia="zh-CN"/>
              </w:rPr>
            </w:pPr>
          </w:p>
        </w:tc>
        <w:tc>
          <w:tcPr>
            <w:tcW w:w="1295" w:type="dxa"/>
            <w:shd w:val="clear" w:color="auto" w:fill="auto"/>
            <w:vAlign w:val="center"/>
          </w:tcPr>
          <w:p w14:paraId="257DADCF">
            <w:pPr>
              <w:pStyle w:val="28"/>
              <w:pageBreakBefore w:val="0"/>
              <w:kinsoku/>
              <w:overflowPunct/>
              <w:topLinePunct w:val="0"/>
              <w:bidi w:val="0"/>
              <w:snapToGrid w:val="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废气</w:t>
            </w:r>
          </w:p>
        </w:tc>
        <w:tc>
          <w:tcPr>
            <w:tcW w:w="1480" w:type="dxa"/>
            <w:shd w:val="clear" w:color="auto" w:fill="auto"/>
            <w:vAlign w:val="center"/>
          </w:tcPr>
          <w:p w14:paraId="3FAD5DE3">
            <w:pPr>
              <w:pStyle w:val="28"/>
              <w:pageBreakBefore w:val="0"/>
              <w:kinsoku/>
              <w:overflowPunct/>
              <w:topLinePunct w:val="0"/>
              <w:bidi w:val="0"/>
              <w:snapToGrid w:val="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空气污染</w:t>
            </w:r>
          </w:p>
        </w:tc>
        <w:tc>
          <w:tcPr>
            <w:tcW w:w="2835" w:type="dxa"/>
            <w:shd w:val="clear" w:color="auto" w:fill="auto"/>
            <w:vAlign w:val="center"/>
          </w:tcPr>
          <w:p w14:paraId="7B1A0598">
            <w:pPr>
              <w:pStyle w:val="28"/>
              <w:pageBreakBefore w:val="0"/>
              <w:numPr>
                <w:ilvl w:val="0"/>
                <w:numId w:val="9"/>
              </w:numPr>
              <w:kinsoku/>
              <w:overflowPunct/>
              <w:topLinePunct w:val="0"/>
              <w:bidi w:val="0"/>
              <w:snapToGrid w:val="0"/>
              <w:ind w:right="42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无组织废气：</w:t>
            </w:r>
          </w:p>
          <w:p w14:paraId="1F31BC07">
            <w:pPr>
              <w:pStyle w:val="28"/>
              <w:pageBreakBefore w:val="0"/>
              <w:kinsoku/>
              <w:overflowPunct/>
              <w:topLinePunct w:val="0"/>
              <w:bidi w:val="0"/>
              <w:snapToGrid w:val="0"/>
              <w:ind w:right="42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非甲烷总烃</w:t>
            </w:r>
            <w:r>
              <w:rPr>
                <w:rFonts w:hint="eastAsia" w:ascii="仿宋" w:hAnsi="仿宋" w:eastAsia="仿宋" w:cs="仿宋"/>
                <w:w w:val="90"/>
                <w:sz w:val="28"/>
                <w:szCs w:val="28"/>
                <w:lang w:eastAsia="zh-CN"/>
              </w:rPr>
              <w:t>≤</w:t>
            </w:r>
            <w:r>
              <w:rPr>
                <w:rFonts w:hint="eastAsia" w:ascii="仿宋" w:hAnsi="仿宋" w:eastAsia="仿宋" w:cs="仿宋"/>
                <w:sz w:val="28"/>
                <w:szCs w:val="28"/>
                <w:lang w:eastAsia="zh-CN"/>
              </w:rPr>
              <w:t>4.0mg/m</w:t>
            </w:r>
            <w:r>
              <w:rPr>
                <w:rFonts w:hint="eastAsia" w:ascii="仿宋" w:hAnsi="仿宋" w:eastAsia="仿宋" w:cs="仿宋"/>
                <w:sz w:val="28"/>
                <w:szCs w:val="28"/>
                <w:vertAlign w:val="superscript"/>
                <w:lang w:eastAsia="zh-CN"/>
              </w:rPr>
              <w:t>3</w:t>
            </w:r>
          </w:p>
          <w:p w14:paraId="0F5F2846">
            <w:pPr>
              <w:pStyle w:val="28"/>
              <w:pageBreakBefore w:val="0"/>
              <w:kinsoku/>
              <w:overflowPunct/>
              <w:topLinePunct w:val="0"/>
              <w:bidi w:val="0"/>
              <w:snapToGrid w:val="0"/>
              <w:ind w:right="42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二甲苯：无</w:t>
            </w:r>
          </w:p>
          <w:p w14:paraId="4BA7D3EC">
            <w:pPr>
              <w:pStyle w:val="28"/>
              <w:pageBreakBefore w:val="0"/>
              <w:kinsoku/>
              <w:overflowPunct/>
              <w:topLinePunct w:val="0"/>
              <w:bidi w:val="0"/>
              <w:snapToGrid w:val="0"/>
              <w:ind w:right="42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颗粒物</w:t>
            </w:r>
            <w:r>
              <w:rPr>
                <w:rFonts w:hint="eastAsia" w:ascii="仿宋" w:hAnsi="仿宋" w:eastAsia="仿宋" w:cs="仿宋"/>
                <w:w w:val="90"/>
                <w:sz w:val="28"/>
                <w:szCs w:val="28"/>
                <w:lang w:eastAsia="zh-CN"/>
              </w:rPr>
              <w:t>≤</w:t>
            </w:r>
            <w:r>
              <w:rPr>
                <w:rFonts w:hint="eastAsia" w:ascii="仿宋" w:hAnsi="仿宋" w:eastAsia="仿宋" w:cs="仿宋"/>
                <w:sz w:val="28"/>
                <w:szCs w:val="28"/>
                <w:lang w:eastAsia="zh-CN"/>
              </w:rPr>
              <w:t>1.0mg/m</w:t>
            </w:r>
            <w:r>
              <w:rPr>
                <w:rFonts w:hint="eastAsia" w:ascii="仿宋" w:hAnsi="仿宋" w:eastAsia="仿宋" w:cs="仿宋"/>
                <w:sz w:val="28"/>
                <w:szCs w:val="28"/>
                <w:vertAlign w:val="superscript"/>
                <w:lang w:eastAsia="zh-CN"/>
              </w:rPr>
              <w:t>3</w:t>
            </w:r>
          </w:p>
          <w:p w14:paraId="3155DB7D">
            <w:pPr>
              <w:pStyle w:val="28"/>
              <w:pageBreakBefore w:val="0"/>
              <w:numPr>
                <w:ilvl w:val="0"/>
                <w:numId w:val="9"/>
              </w:numPr>
              <w:kinsoku/>
              <w:overflowPunct/>
              <w:topLinePunct w:val="0"/>
              <w:bidi w:val="0"/>
              <w:snapToGrid w:val="0"/>
              <w:ind w:right="42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有组织废气：</w:t>
            </w:r>
          </w:p>
          <w:p w14:paraId="01F53F2D">
            <w:pPr>
              <w:pStyle w:val="28"/>
              <w:pageBreakBefore w:val="0"/>
              <w:kinsoku/>
              <w:overflowPunct/>
              <w:topLinePunct w:val="0"/>
              <w:bidi w:val="0"/>
              <w:snapToGrid w:val="0"/>
              <w:ind w:right="42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颗粒物</w:t>
            </w:r>
            <w:r>
              <w:rPr>
                <w:rFonts w:hint="eastAsia" w:ascii="仿宋" w:hAnsi="仿宋" w:eastAsia="仿宋" w:cs="仿宋"/>
                <w:w w:val="90"/>
                <w:sz w:val="28"/>
                <w:szCs w:val="28"/>
                <w:lang w:eastAsia="zh-CN"/>
              </w:rPr>
              <w:t>≤</w:t>
            </w:r>
            <w:r>
              <w:rPr>
                <w:rFonts w:hint="eastAsia" w:ascii="仿宋" w:hAnsi="仿宋" w:eastAsia="仿宋" w:cs="仿宋"/>
                <w:sz w:val="28"/>
                <w:szCs w:val="28"/>
                <w:lang w:eastAsia="zh-CN"/>
              </w:rPr>
              <w:t>30mg/m</w:t>
            </w:r>
            <w:r>
              <w:rPr>
                <w:rFonts w:hint="eastAsia" w:ascii="仿宋" w:hAnsi="仿宋" w:eastAsia="仿宋" w:cs="仿宋"/>
                <w:sz w:val="28"/>
                <w:szCs w:val="28"/>
                <w:vertAlign w:val="superscript"/>
                <w:lang w:eastAsia="zh-CN"/>
              </w:rPr>
              <w:t>3</w:t>
            </w:r>
          </w:p>
          <w:p w14:paraId="0CFBAF4E">
            <w:pPr>
              <w:pStyle w:val="28"/>
              <w:pageBreakBefore w:val="0"/>
              <w:kinsoku/>
              <w:overflowPunct/>
              <w:topLinePunct w:val="0"/>
              <w:bidi w:val="0"/>
              <w:snapToGrid w:val="0"/>
              <w:ind w:right="42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苯</w:t>
            </w:r>
            <w:r>
              <w:rPr>
                <w:rFonts w:hint="eastAsia" w:ascii="仿宋" w:hAnsi="仿宋" w:eastAsia="仿宋" w:cs="仿宋"/>
                <w:w w:val="90"/>
                <w:sz w:val="28"/>
                <w:szCs w:val="28"/>
              </w:rPr>
              <w:t>≤</w:t>
            </w:r>
            <w:r>
              <w:rPr>
                <w:rFonts w:hint="eastAsia" w:ascii="仿宋" w:hAnsi="仿宋" w:eastAsia="仿宋" w:cs="仿宋"/>
                <w:sz w:val="28"/>
                <w:szCs w:val="28"/>
                <w:lang w:eastAsia="zh-CN"/>
              </w:rPr>
              <w:t>1.0mg/m</w:t>
            </w:r>
            <w:r>
              <w:rPr>
                <w:rFonts w:hint="eastAsia" w:ascii="仿宋" w:hAnsi="仿宋" w:eastAsia="仿宋" w:cs="仿宋"/>
                <w:sz w:val="28"/>
                <w:szCs w:val="28"/>
                <w:vertAlign w:val="superscript"/>
                <w:lang w:eastAsia="zh-CN"/>
              </w:rPr>
              <w:t>3</w:t>
            </w:r>
          </w:p>
          <w:p w14:paraId="0AFCC1B7">
            <w:pPr>
              <w:pStyle w:val="28"/>
              <w:pageBreakBefore w:val="0"/>
              <w:kinsoku/>
              <w:overflowPunct/>
              <w:topLinePunct w:val="0"/>
              <w:bidi w:val="0"/>
              <w:snapToGrid w:val="0"/>
              <w:ind w:right="42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甲苯：无</w:t>
            </w:r>
          </w:p>
        </w:tc>
        <w:tc>
          <w:tcPr>
            <w:tcW w:w="2645" w:type="dxa"/>
            <w:shd w:val="clear" w:color="auto" w:fill="auto"/>
            <w:vAlign w:val="center"/>
          </w:tcPr>
          <w:p w14:paraId="342F7878">
            <w:pPr>
              <w:pStyle w:val="28"/>
              <w:pageBreakBefore w:val="0"/>
              <w:kinsoku/>
              <w:overflowPunct/>
              <w:topLinePunct w:val="0"/>
              <w:bidi w:val="0"/>
              <w:snapToGrid w:val="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制定制度，按体系管理。</w:t>
            </w:r>
          </w:p>
        </w:tc>
      </w:tr>
      <w:tr w14:paraId="34ED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997" w:hRule="atLeast"/>
          <w:jc w:val="center"/>
        </w:trPr>
        <w:tc>
          <w:tcPr>
            <w:tcW w:w="1231" w:type="dxa"/>
            <w:shd w:val="clear" w:color="auto" w:fill="auto"/>
            <w:vAlign w:val="center"/>
          </w:tcPr>
          <w:p w14:paraId="123F92D6">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安全生产</w:t>
            </w:r>
          </w:p>
        </w:tc>
        <w:tc>
          <w:tcPr>
            <w:tcW w:w="1295" w:type="dxa"/>
            <w:shd w:val="clear" w:color="auto" w:fill="auto"/>
            <w:vAlign w:val="center"/>
          </w:tcPr>
          <w:p w14:paraId="33680FBC">
            <w:pPr>
              <w:pStyle w:val="28"/>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lang w:eastAsia="zh-CN"/>
              </w:rPr>
              <w:t>机械</w:t>
            </w:r>
            <w:r>
              <w:rPr>
                <w:rFonts w:hint="eastAsia" w:ascii="仿宋" w:hAnsi="仿宋" w:eastAsia="仿宋" w:cs="仿宋"/>
                <w:sz w:val="28"/>
                <w:szCs w:val="28"/>
              </w:rPr>
              <w:t>伤害</w:t>
            </w:r>
            <w:r>
              <w:rPr>
                <w:rFonts w:hint="eastAsia" w:ascii="仿宋" w:hAnsi="仿宋" w:eastAsia="仿宋" w:cs="仿宋"/>
                <w:sz w:val="28"/>
                <w:szCs w:val="28"/>
                <w:lang w:eastAsia="zh-CN"/>
              </w:rPr>
              <w:t>和</w:t>
            </w:r>
            <w:r>
              <w:rPr>
                <w:rFonts w:hint="eastAsia" w:ascii="仿宋" w:hAnsi="仿宋" w:eastAsia="仿宋" w:cs="仿宋"/>
                <w:spacing w:val="-3"/>
                <w:sz w:val="28"/>
                <w:szCs w:val="28"/>
              </w:rPr>
              <w:t>火</w:t>
            </w:r>
            <w:r>
              <w:rPr>
                <w:rFonts w:hint="eastAsia" w:ascii="仿宋" w:hAnsi="仿宋" w:eastAsia="仿宋" w:cs="仿宋"/>
                <w:sz w:val="28"/>
                <w:szCs w:val="28"/>
              </w:rPr>
              <w:t>灾</w:t>
            </w:r>
            <w:r>
              <w:rPr>
                <w:rFonts w:hint="eastAsia" w:ascii="仿宋" w:hAnsi="仿宋" w:eastAsia="仿宋" w:cs="仿宋"/>
                <w:sz w:val="28"/>
                <w:szCs w:val="28"/>
                <w:lang w:eastAsia="zh-CN"/>
              </w:rPr>
              <w:t>等</w:t>
            </w:r>
          </w:p>
        </w:tc>
        <w:tc>
          <w:tcPr>
            <w:tcW w:w="1480" w:type="dxa"/>
            <w:shd w:val="clear" w:color="auto" w:fill="auto"/>
            <w:vAlign w:val="center"/>
          </w:tcPr>
          <w:p w14:paraId="77408F27">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pacing w:val="-1"/>
                <w:sz w:val="28"/>
                <w:szCs w:val="28"/>
              </w:rPr>
              <w:t>人员伤亡</w:t>
            </w:r>
          </w:p>
          <w:p w14:paraId="47C44C37">
            <w:pPr>
              <w:pStyle w:val="28"/>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pacing w:val="-1"/>
                <w:sz w:val="28"/>
                <w:szCs w:val="28"/>
              </w:rPr>
              <w:t>财产损失</w:t>
            </w:r>
          </w:p>
        </w:tc>
        <w:tc>
          <w:tcPr>
            <w:tcW w:w="2835" w:type="dxa"/>
            <w:shd w:val="clear" w:color="auto" w:fill="auto"/>
            <w:vAlign w:val="center"/>
          </w:tcPr>
          <w:p w14:paraId="7B906B12">
            <w:pPr>
              <w:pStyle w:val="28"/>
              <w:pageBreakBefore w:val="0"/>
              <w:kinsoku/>
              <w:overflowPunct/>
              <w:topLinePunct w:val="0"/>
              <w:bidi w:val="0"/>
              <w:snapToGrid w:val="0"/>
              <w:jc w:val="both"/>
              <w:rPr>
                <w:rFonts w:hint="eastAsia" w:ascii="仿宋" w:hAnsi="仿宋" w:eastAsia="仿宋" w:cs="仿宋"/>
                <w:sz w:val="28"/>
                <w:szCs w:val="28"/>
                <w:lang w:eastAsia="zh-CN"/>
              </w:rPr>
            </w:pPr>
            <w:r>
              <w:rPr>
                <w:rFonts w:hint="eastAsia" w:ascii="仿宋" w:hAnsi="仿宋" w:eastAsia="仿宋" w:cs="仿宋"/>
                <w:spacing w:val="1"/>
                <w:sz w:val="28"/>
                <w:szCs w:val="28"/>
                <w:lang w:eastAsia="zh-CN"/>
              </w:rPr>
              <w:t>工亡、重伤为零，轻</w:t>
            </w:r>
            <w:r>
              <w:rPr>
                <w:rFonts w:hint="eastAsia" w:ascii="仿宋" w:hAnsi="仿宋" w:eastAsia="仿宋" w:cs="仿宋"/>
                <w:sz w:val="28"/>
                <w:szCs w:val="28"/>
                <w:lang w:eastAsia="zh-CN"/>
              </w:rPr>
              <w:t>伤≤2%</w:t>
            </w:r>
          </w:p>
        </w:tc>
        <w:tc>
          <w:tcPr>
            <w:tcW w:w="2645" w:type="dxa"/>
            <w:shd w:val="clear" w:color="auto" w:fill="auto"/>
            <w:vAlign w:val="center"/>
          </w:tcPr>
          <w:p w14:paraId="2F1E368F">
            <w:pPr>
              <w:pStyle w:val="28"/>
              <w:pageBreakBefore w:val="0"/>
              <w:kinsoku/>
              <w:overflowPunct/>
              <w:topLinePunct w:val="0"/>
              <w:bidi w:val="0"/>
              <w:snapToGrid w:val="0"/>
              <w:jc w:val="both"/>
              <w:rPr>
                <w:rFonts w:hint="eastAsia" w:ascii="仿宋" w:hAnsi="仿宋" w:eastAsia="仿宋" w:cs="仿宋"/>
                <w:sz w:val="28"/>
                <w:szCs w:val="28"/>
                <w:lang w:eastAsia="zh-CN"/>
              </w:rPr>
            </w:pPr>
            <w:r>
              <w:rPr>
                <w:rFonts w:hint="eastAsia" w:ascii="仿宋" w:hAnsi="仿宋" w:eastAsia="仿宋" w:cs="仿宋"/>
                <w:spacing w:val="13"/>
                <w:sz w:val="28"/>
                <w:szCs w:val="28"/>
                <w:lang w:eastAsia="zh-CN"/>
              </w:rPr>
              <w:t>执行工业企业安全标准化</w:t>
            </w:r>
            <w:r>
              <w:rPr>
                <w:rFonts w:hint="eastAsia" w:ascii="仿宋" w:hAnsi="仿宋" w:eastAsia="仿宋" w:cs="仿宋"/>
                <w:sz w:val="28"/>
                <w:szCs w:val="28"/>
                <w:lang w:eastAsia="zh-CN"/>
              </w:rPr>
              <w:t>体系</w:t>
            </w:r>
            <w:r>
              <w:rPr>
                <w:rFonts w:hint="eastAsia" w:ascii="仿宋" w:hAnsi="仿宋" w:eastAsia="仿宋" w:cs="仿宋"/>
                <w:spacing w:val="-46"/>
                <w:sz w:val="28"/>
                <w:szCs w:val="28"/>
                <w:lang w:eastAsia="zh-CN"/>
              </w:rPr>
              <w:t>，</w:t>
            </w:r>
            <w:r>
              <w:rPr>
                <w:rFonts w:hint="eastAsia" w:ascii="仿宋" w:hAnsi="仿宋" w:eastAsia="仿宋" w:cs="仿宋"/>
                <w:sz w:val="28"/>
                <w:szCs w:val="28"/>
                <w:lang w:eastAsia="zh-CN"/>
              </w:rPr>
              <w:t>签</w:t>
            </w:r>
            <w:r>
              <w:rPr>
                <w:rFonts w:hint="eastAsia" w:ascii="仿宋" w:hAnsi="仿宋" w:eastAsia="仿宋" w:cs="仿宋"/>
                <w:spacing w:val="-3"/>
                <w:sz w:val="28"/>
                <w:szCs w:val="28"/>
                <w:lang w:eastAsia="zh-CN"/>
              </w:rPr>
              <w:t>订</w:t>
            </w:r>
            <w:r>
              <w:rPr>
                <w:rFonts w:hint="eastAsia" w:ascii="仿宋" w:hAnsi="仿宋" w:eastAsia="仿宋" w:cs="仿宋"/>
                <w:sz w:val="28"/>
                <w:szCs w:val="28"/>
                <w:lang w:eastAsia="zh-CN"/>
              </w:rPr>
              <w:t>安</w:t>
            </w:r>
            <w:r>
              <w:rPr>
                <w:rFonts w:hint="eastAsia" w:ascii="仿宋" w:hAnsi="仿宋" w:eastAsia="仿宋" w:cs="仿宋"/>
                <w:spacing w:val="-3"/>
                <w:sz w:val="28"/>
                <w:szCs w:val="28"/>
                <w:lang w:eastAsia="zh-CN"/>
              </w:rPr>
              <w:t>全</w:t>
            </w:r>
            <w:r>
              <w:rPr>
                <w:rFonts w:hint="eastAsia" w:ascii="仿宋" w:hAnsi="仿宋" w:eastAsia="仿宋" w:cs="仿宋"/>
                <w:sz w:val="28"/>
                <w:szCs w:val="28"/>
                <w:lang w:eastAsia="zh-CN"/>
              </w:rPr>
              <w:t>管</w:t>
            </w:r>
            <w:r>
              <w:rPr>
                <w:rFonts w:hint="eastAsia" w:ascii="仿宋" w:hAnsi="仿宋" w:eastAsia="仿宋" w:cs="仿宋"/>
                <w:spacing w:val="-3"/>
                <w:sz w:val="28"/>
                <w:szCs w:val="28"/>
                <w:lang w:eastAsia="zh-CN"/>
              </w:rPr>
              <w:t>理</w:t>
            </w:r>
            <w:r>
              <w:rPr>
                <w:rFonts w:hint="eastAsia" w:ascii="仿宋" w:hAnsi="仿宋" w:eastAsia="仿宋" w:cs="仿宋"/>
                <w:sz w:val="28"/>
                <w:szCs w:val="28"/>
                <w:lang w:eastAsia="zh-CN"/>
              </w:rPr>
              <w:t>责</w:t>
            </w:r>
            <w:r>
              <w:rPr>
                <w:rFonts w:hint="eastAsia" w:ascii="仿宋" w:hAnsi="仿宋" w:eastAsia="仿宋" w:cs="仿宋"/>
                <w:spacing w:val="-3"/>
                <w:sz w:val="28"/>
                <w:szCs w:val="28"/>
                <w:lang w:eastAsia="zh-CN"/>
              </w:rPr>
              <w:t>任</w:t>
            </w:r>
            <w:r>
              <w:rPr>
                <w:rFonts w:hint="eastAsia" w:ascii="仿宋" w:hAnsi="仿宋" w:eastAsia="仿宋" w:cs="仿宋"/>
                <w:sz w:val="28"/>
                <w:szCs w:val="28"/>
                <w:lang w:eastAsia="zh-CN"/>
              </w:rPr>
              <w:t>状。</w:t>
            </w:r>
          </w:p>
        </w:tc>
      </w:tr>
    </w:tbl>
    <w:p w14:paraId="4A37CEEB">
      <w:pPr>
        <w:pStyle w:val="5"/>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ascii="仿宋" w:hAnsi="仿宋" w:eastAsia="仿宋" w:cs="仿宋"/>
          <w:sz w:val="28"/>
          <w:szCs w:val="28"/>
        </w:rPr>
      </w:pPr>
      <w:bookmarkStart w:id="3" w:name="_Toc417"/>
      <w:bookmarkStart w:id="4" w:name="_Toc108789089"/>
      <w:r>
        <w:rPr>
          <w:rFonts w:hint="eastAsia" w:ascii="仿宋" w:hAnsi="仿宋" w:eastAsia="仿宋" w:cs="仿宋"/>
          <w:sz w:val="28"/>
          <w:szCs w:val="28"/>
        </w:rPr>
        <w:t xml:space="preserve">c) </w:t>
      </w:r>
      <w:bookmarkEnd w:id="3"/>
      <w:r>
        <w:rPr>
          <w:rFonts w:hint="eastAsia" w:ascii="仿宋" w:hAnsi="仿宋" w:eastAsia="仿宋" w:cs="仿宋"/>
          <w:sz w:val="28"/>
          <w:szCs w:val="28"/>
        </w:rPr>
        <w:t>公共责任方面的结果</w:t>
      </w:r>
      <w:bookmarkEnd w:id="4"/>
    </w:p>
    <w:p w14:paraId="3A186FC8">
      <w:pPr>
        <w:pStyle w:val="8"/>
        <w:keepNext w:val="0"/>
        <w:keepLines w:val="0"/>
        <w:pageBreakBefore w:val="0"/>
        <w:widowControl w:val="0"/>
        <w:numPr>
          <w:ilvl w:val="0"/>
          <w:numId w:val="6"/>
        </w:numPr>
        <w:kinsoku/>
        <w:wordWrap/>
        <w:overflowPunct/>
        <w:topLinePunct w:val="0"/>
        <w:autoSpaceDE/>
        <w:autoSpaceDN/>
        <w:bidi w:val="0"/>
        <w:adjustRightInd/>
        <w:snapToGrid w:val="0"/>
        <w:spacing w:after="0" w:line="600" w:lineRule="exact"/>
        <w:ind w:firstLineChars="0"/>
        <w:jc w:val="center"/>
        <w:textAlignment w:val="auto"/>
        <w:rPr>
          <w:rFonts w:hint="eastAsia" w:ascii="仿宋" w:hAnsi="仿宋" w:eastAsia="仿宋" w:cs="仿宋"/>
          <w:b/>
          <w:sz w:val="28"/>
          <w:szCs w:val="28"/>
        </w:rPr>
      </w:pPr>
      <w:r>
        <w:rPr>
          <w:rFonts w:hint="eastAsia" w:ascii="仿宋" w:hAnsi="仿宋" w:eastAsia="仿宋" w:cs="仿宋"/>
          <w:b/>
          <w:sz w:val="28"/>
          <w:szCs w:val="28"/>
        </w:rPr>
        <w:t>公共责任结果</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0"/>
        <w:gridCol w:w="1769"/>
        <w:gridCol w:w="1819"/>
        <w:gridCol w:w="1976"/>
      </w:tblGrid>
      <w:tr w14:paraId="3350B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blHeader/>
          <w:jc w:val="center"/>
        </w:trPr>
        <w:tc>
          <w:tcPr>
            <w:tcW w:w="3700" w:type="dxa"/>
            <w:shd w:val="clear" w:color="auto" w:fill="0070C0"/>
            <w:vAlign w:val="center"/>
          </w:tcPr>
          <w:p w14:paraId="291A3685">
            <w:pPr>
              <w:pageBreakBefore w:val="0"/>
              <w:kinsoku/>
              <w:overflowPunct/>
              <w:topLinePunct w:val="0"/>
              <w:bidi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项目</w:t>
            </w:r>
          </w:p>
        </w:tc>
        <w:tc>
          <w:tcPr>
            <w:tcW w:w="1813" w:type="dxa"/>
            <w:shd w:val="clear" w:color="auto" w:fill="0070C0"/>
            <w:vAlign w:val="center"/>
          </w:tcPr>
          <w:p w14:paraId="47D8A1B8">
            <w:pPr>
              <w:pageBreakBefore w:val="0"/>
              <w:kinsoku/>
              <w:overflowPunct/>
              <w:topLinePunct w:val="0"/>
              <w:bidi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202</w:t>
            </w:r>
            <w:r>
              <w:rPr>
                <w:rFonts w:hint="eastAsia" w:ascii="仿宋" w:hAnsi="仿宋" w:eastAsia="仿宋" w:cs="仿宋"/>
                <w:b/>
                <w:bCs/>
                <w:color w:val="FFFFFF" w:themeColor="background1"/>
                <w:sz w:val="28"/>
                <w:szCs w:val="28"/>
                <w:lang w:val="en-US" w:eastAsia="zh-CN"/>
                <w14:textFill>
                  <w14:solidFill>
                    <w14:schemeClr w14:val="bg1"/>
                  </w14:solidFill>
                </w14:textFill>
              </w:rPr>
              <w:t>2</w:t>
            </w:r>
            <w:r>
              <w:rPr>
                <w:rFonts w:hint="eastAsia" w:ascii="仿宋" w:hAnsi="仿宋" w:eastAsia="仿宋" w:cs="仿宋"/>
                <w:b/>
                <w:bCs/>
                <w:color w:val="FFFFFF" w:themeColor="background1"/>
                <w:sz w:val="28"/>
                <w:szCs w:val="28"/>
                <w14:textFill>
                  <w14:solidFill>
                    <w14:schemeClr w14:val="bg1"/>
                  </w14:solidFill>
                </w14:textFill>
              </w:rPr>
              <w:t>年</w:t>
            </w:r>
          </w:p>
        </w:tc>
        <w:tc>
          <w:tcPr>
            <w:tcW w:w="1864" w:type="dxa"/>
            <w:shd w:val="clear" w:color="auto" w:fill="0070C0"/>
            <w:vAlign w:val="center"/>
          </w:tcPr>
          <w:p w14:paraId="03442CC1">
            <w:pPr>
              <w:pageBreakBefore w:val="0"/>
              <w:kinsoku/>
              <w:overflowPunct/>
              <w:topLinePunct w:val="0"/>
              <w:bidi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202</w:t>
            </w:r>
            <w:r>
              <w:rPr>
                <w:rFonts w:hint="eastAsia" w:ascii="仿宋" w:hAnsi="仿宋" w:eastAsia="仿宋" w:cs="仿宋"/>
                <w:b/>
                <w:bCs/>
                <w:color w:val="FFFFFF" w:themeColor="background1"/>
                <w:sz w:val="28"/>
                <w:szCs w:val="28"/>
                <w:lang w:val="en-US" w:eastAsia="zh-CN"/>
                <w14:textFill>
                  <w14:solidFill>
                    <w14:schemeClr w14:val="bg1"/>
                  </w14:solidFill>
                </w14:textFill>
              </w:rPr>
              <w:t>3</w:t>
            </w:r>
            <w:r>
              <w:rPr>
                <w:rFonts w:hint="eastAsia" w:ascii="仿宋" w:hAnsi="仿宋" w:eastAsia="仿宋" w:cs="仿宋"/>
                <w:b/>
                <w:bCs/>
                <w:color w:val="FFFFFF" w:themeColor="background1"/>
                <w:sz w:val="28"/>
                <w:szCs w:val="28"/>
                <w14:textFill>
                  <w14:solidFill>
                    <w14:schemeClr w14:val="bg1"/>
                  </w14:solidFill>
                </w14:textFill>
              </w:rPr>
              <w:t>年</w:t>
            </w:r>
          </w:p>
        </w:tc>
        <w:tc>
          <w:tcPr>
            <w:tcW w:w="2025" w:type="dxa"/>
            <w:shd w:val="clear" w:color="auto" w:fill="0070C0"/>
            <w:vAlign w:val="center"/>
          </w:tcPr>
          <w:p w14:paraId="6EB45CBA">
            <w:pPr>
              <w:pageBreakBefore w:val="0"/>
              <w:kinsoku/>
              <w:overflowPunct/>
              <w:topLinePunct w:val="0"/>
              <w:bidi w:val="0"/>
              <w:snapToGrid w:val="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202</w:t>
            </w:r>
            <w:r>
              <w:rPr>
                <w:rFonts w:hint="eastAsia" w:ascii="仿宋" w:hAnsi="仿宋" w:eastAsia="仿宋" w:cs="仿宋"/>
                <w:b/>
                <w:bCs/>
                <w:color w:val="FFFFFF" w:themeColor="background1"/>
                <w:sz w:val="28"/>
                <w:szCs w:val="28"/>
                <w:lang w:val="en-US" w:eastAsia="zh-CN"/>
                <w14:textFill>
                  <w14:solidFill>
                    <w14:schemeClr w14:val="bg1"/>
                  </w14:solidFill>
                </w14:textFill>
              </w:rPr>
              <w:t>4</w:t>
            </w:r>
            <w:r>
              <w:rPr>
                <w:rFonts w:hint="eastAsia" w:ascii="仿宋" w:hAnsi="仿宋" w:eastAsia="仿宋" w:cs="仿宋"/>
                <w:b/>
                <w:bCs/>
                <w:color w:val="FFFFFF" w:themeColor="background1"/>
                <w:sz w:val="28"/>
                <w:szCs w:val="28"/>
                <w14:textFill>
                  <w14:solidFill>
                    <w14:schemeClr w14:val="bg1"/>
                  </w14:solidFill>
                </w14:textFill>
              </w:rPr>
              <w:t>年</w:t>
            </w:r>
          </w:p>
        </w:tc>
      </w:tr>
      <w:tr w14:paraId="3876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00" w:type="dxa"/>
            <w:vAlign w:val="center"/>
          </w:tcPr>
          <w:p w14:paraId="3D74F583">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万元产值综合能耗（吨/万元）</w:t>
            </w:r>
          </w:p>
        </w:tc>
        <w:tc>
          <w:tcPr>
            <w:tcW w:w="1813" w:type="dxa"/>
            <w:vAlign w:val="center"/>
          </w:tcPr>
          <w:p w14:paraId="13354621">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0.0074</w:t>
            </w:r>
          </w:p>
        </w:tc>
        <w:tc>
          <w:tcPr>
            <w:tcW w:w="1864" w:type="dxa"/>
            <w:vAlign w:val="center"/>
          </w:tcPr>
          <w:p w14:paraId="4CD53A8E">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0.0066</w:t>
            </w:r>
          </w:p>
        </w:tc>
        <w:tc>
          <w:tcPr>
            <w:tcW w:w="2025" w:type="dxa"/>
            <w:vAlign w:val="center"/>
          </w:tcPr>
          <w:p w14:paraId="262E0476">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0.0068</w:t>
            </w:r>
          </w:p>
        </w:tc>
      </w:tr>
      <w:tr w14:paraId="1F46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00" w:type="dxa"/>
            <w:vAlign w:val="center"/>
          </w:tcPr>
          <w:p w14:paraId="59AC8F12">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行政处罚（次）</w:t>
            </w:r>
          </w:p>
        </w:tc>
        <w:tc>
          <w:tcPr>
            <w:tcW w:w="1813" w:type="dxa"/>
          </w:tcPr>
          <w:p w14:paraId="541A1923">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864" w:type="dxa"/>
          </w:tcPr>
          <w:p w14:paraId="58C23B2B">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2025" w:type="dxa"/>
          </w:tcPr>
          <w:p w14:paraId="017FFFC6">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r>
      <w:tr w14:paraId="2F5E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00" w:type="dxa"/>
            <w:vAlign w:val="center"/>
          </w:tcPr>
          <w:p w14:paraId="12BA9BBB">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法律诉讼（起）</w:t>
            </w:r>
          </w:p>
        </w:tc>
        <w:tc>
          <w:tcPr>
            <w:tcW w:w="1813" w:type="dxa"/>
          </w:tcPr>
          <w:p w14:paraId="5D5EBF5D">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864" w:type="dxa"/>
          </w:tcPr>
          <w:p w14:paraId="72A34D47">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2025" w:type="dxa"/>
          </w:tcPr>
          <w:p w14:paraId="119A580C">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r>
      <w:tr w14:paraId="14623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00" w:type="dxa"/>
            <w:vAlign w:val="center"/>
          </w:tcPr>
          <w:p w14:paraId="0483372B">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重大产品质量事故（起）</w:t>
            </w:r>
          </w:p>
        </w:tc>
        <w:tc>
          <w:tcPr>
            <w:tcW w:w="1813" w:type="dxa"/>
          </w:tcPr>
          <w:p w14:paraId="79DC13A7">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864" w:type="dxa"/>
          </w:tcPr>
          <w:p w14:paraId="53FEEC4D">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2025" w:type="dxa"/>
          </w:tcPr>
          <w:p w14:paraId="6106D580">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r>
      <w:tr w14:paraId="19E44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00" w:type="dxa"/>
            <w:vAlign w:val="center"/>
          </w:tcPr>
          <w:p w14:paraId="1D6E40DA">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重大安全事故（起）</w:t>
            </w:r>
          </w:p>
        </w:tc>
        <w:tc>
          <w:tcPr>
            <w:tcW w:w="1813" w:type="dxa"/>
          </w:tcPr>
          <w:p w14:paraId="05CA7B73">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1864" w:type="dxa"/>
          </w:tcPr>
          <w:p w14:paraId="288D18C9">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c>
          <w:tcPr>
            <w:tcW w:w="2025" w:type="dxa"/>
          </w:tcPr>
          <w:p w14:paraId="5E42E528">
            <w:pPr>
              <w:pageBreakBefore w:val="0"/>
              <w:kinsoku/>
              <w:overflowPunct/>
              <w:topLinePunct w:val="0"/>
              <w:bidi w:val="0"/>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0</w:t>
            </w:r>
          </w:p>
        </w:tc>
      </w:tr>
      <w:tr w14:paraId="004C8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00" w:type="dxa"/>
            <w:vAlign w:val="center"/>
          </w:tcPr>
          <w:p w14:paraId="423ED47D">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生产污水处理率（%）</w:t>
            </w:r>
          </w:p>
        </w:tc>
        <w:tc>
          <w:tcPr>
            <w:tcW w:w="1813" w:type="dxa"/>
            <w:vAlign w:val="center"/>
          </w:tcPr>
          <w:p w14:paraId="239ED8FA">
            <w:pPr>
              <w:pageBreakBefore w:val="0"/>
              <w:kinsoku/>
              <w:overflowPunct/>
              <w:topLinePunct w:val="0"/>
              <w:bidi w:val="0"/>
              <w:snapToGrid w:val="0"/>
              <w:jc w:val="center"/>
              <w:rPr>
                <w:rFonts w:hint="eastAsia" w:ascii="仿宋" w:hAnsi="仿宋" w:eastAsia="仿宋" w:cs="仿宋"/>
                <w:spacing w:val="-4"/>
                <w:sz w:val="28"/>
                <w:szCs w:val="28"/>
              </w:rPr>
            </w:pPr>
            <w:r>
              <w:rPr>
                <w:rFonts w:hint="eastAsia" w:ascii="仿宋" w:hAnsi="仿宋" w:eastAsia="仿宋" w:cs="仿宋"/>
                <w:spacing w:val="-4"/>
                <w:sz w:val="28"/>
                <w:szCs w:val="28"/>
              </w:rPr>
              <w:t>100</w:t>
            </w:r>
          </w:p>
        </w:tc>
        <w:tc>
          <w:tcPr>
            <w:tcW w:w="1864" w:type="dxa"/>
            <w:vAlign w:val="center"/>
          </w:tcPr>
          <w:p w14:paraId="6C1C2396">
            <w:pPr>
              <w:pageBreakBefore w:val="0"/>
              <w:kinsoku/>
              <w:overflowPunct/>
              <w:topLinePunct w:val="0"/>
              <w:bidi w:val="0"/>
              <w:snapToGrid w:val="0"/>
              <w:jc w:val="center"/>
              <w:rPr>
                <w:rFonts w:hint="eastAsia" w:ascii="仿宋" w:hAnsi="仿宋" w:eastAsia="仿宋" w:cs="仿宋"/>
                <w:spacing w:val="-4"/>
                <w:sz w:val="28"/>
                <w:szCs w:val="28"/>
              </w:rPr>
            </w:pPr>
            <w:r>
              <w:rPr>
                <w:rFonts w:hint="eastAsia" w:ascii="仿宋" w:hAnsi="仿宋" w:eastAsia="仿宋" w:cs="仿宋"/>
                <w:spacing w:val="-4"/>
                <w:sz w:val="28"/>
                <w:szCs w:val="28"/>
              </w:rPr>
              <w:t>100</w:t>
            </w:r>
          </w:p>
        </w:tc>
        <w:tc>
          <w:tcPr>
            <w:tcW w:w="2025" w:type="dxa"/>
            <w:vAlign w:val="center"/>
          </w:tcPr>
          <w:p w14:paraId="48377AE6">
            <w:pPr>
              <w:pageBreakBefore w:val="0"/>
              <w:kinsoku/>
              <w:overflowPunct/>
              <w:topLinePunct w:val="0"/>
              <w:bidi w:val="0"/>
              <w:snapToGrid w:val="0"/>
              <w:jc w:val="center"/>
              <w:rPr>
                <w:rFonts w:hint="eastAsia" w:ascii="仿宋" w:hAnsi="仿宋" w:eastAsia="仿宋" w:cs="仿宋"/>
                <w:spacing w:val="-4"/>
                <w:sz w:val="28"/>
                <w:szCs w:val="28"/>
              </w:rPr>
            </w:pPr>
            <w:r>
              <w:rPr>
                <w:rFonts w:hint="eastAsia" w:ascii="仿宋" w:hAnsi="仿宋" w:eastAsia="仿宋" w:cs="仿宋"/>
                <w:spacing w:val="-4"/>
                <w:sz w:val="28"/>
                <w:szCs w:val="28"/>
              </w:rPr>
              <w:t>100</w:t>
            </w:r>
          </w:p>
        </w:tc>
      </w:tr>
      <w:tr w14:paraId="3846F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00" w:type="dxa"/>
            <w:vAlign w:val="center"/>
          </w:tcPr>
          <w:p w14:paraId="61350574">
            <w:pPr>
              <w:pageBreakBefore w:val="0"/>
              <w:kinsoku/>
              <w:overflowPunct/>
              <w:topLinePunct w:val="0"/>
              <w:bidi w:val="0"/>
              <w:snapToGrid w:val="0"/>
              <w:jc w:val="center"/>
              <w:rPr>
                <w:rStyle w:val="29"/>
                <w:rFonts w:hint="eastAsia" w:ascii="仿宋" w:hAnsi="仿宋" w:eastAsia="仿宋" w:cs="仿宋"/>
                <w:color w:val="000000"/>
                <w:sz w:val="28"/>
                <w:szCs w:val="28"/>
              </w:rPr>
            </w:pPr>
            <w:r>
              <w:rPr>
                <w:rFonts w:hint="eastAsia" w:ascii="仿宋" w:hAnsi="仿宋" w:eastAsia="仿宋" w:cs="仿宋"/>
                <w:sz w:val="28"/>
                <w:szCs w:val="28"/>
              </w:rPr>
              <w:t>废气排放</w:t>
            </w:r>
          </w:p>
        </w:tc>
        <w:tc>
          <w:tcPr>
            <w:tcW w:w="1813" w:type="dxa"/>
            <w:vAlign w:val="center"/>
          </w:tcPr>
          <w:p w14:paraId="67323087">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符合相关标准</w:t>
            </w:r>
          </w:p>
        </w:tc>
        <w:tc>
          <w:tcPr>
            <w:tcW w:w="1864" w:type="dxa"/>
            <w:vAlign w:val="center"/>
          </w:tcPr>
          <w:p w14:paraId="1E6672F3">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符合相关标准</w:t>
            </w:r>
          </w:p>
        </w:tc>
        <w:tc>
          <w:tcPr>
            <w:tcW w:w="2025" w:type="dxa"/>
            <w:vAlign w:val="center"/>
          </w:tcPr>
          <w:p w14:paraId="60C9F87C">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符合相关标准</w:t>
            </w:r>
          </w:p>
        </w:tc>
      </w:tr>
      <w:tr w14:paraId="1CFF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00" w:type="dxa"/>
            <w:vAlign w:val="center"/>
          </w:tcPr>
          <w:p w14:paraId="0FFBA120">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噪声排放</w:t>
            </w:r>
          </w:p>
        </w:tc>
        <w:tc>
          <w:tcPr>
            <w:tcW w:w="1813" w:type="dxa"/>
            <w:vAlign w:val="center"/>
          </w:tcPr>
          <w:p w14:paraId="38139480">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符合相关标准</w:t>
            </w:r>
          </w:p>
        </w:tc>
        <w:tc>
          <w:tcPr>
            <w:tcW w:w="1864" w:type="dxa"/>
            <w:vAlign w:val="center"/>
          </w:tcPr>
          <w:p w14:paraId="500D0903">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符合相关标准</w:t>
            </w:r>
          </w:p>
        </w:tc>
        <w:tc>
          <w:tcPr>
            <w:tcW w:w="2025" w:type="dxa"/>
            <w:vAlign w:val="center"/>
          </w:tcPr>
          <w:p w14:paraId="14AE15B9">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符合相关标准</w:t>
            </w:r>
          </w:p>
        </w:tc>
      </w:tr>
      <w:tr w14:paraId="6D19E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00" w:type="dxa"/>
            <w:vAlign w:val="center"/>
          </w:tcPr>
          <w:p w14:paraId="78555DD1">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固体废弃物排放</w:t>
            </w:r>
          </w:p>
        </w:tc>
        <w:tc>
          <w:tcPr>
            <w:tcW w:w="1813" w:type="dxa"/>
            <w:vAlign w:val="center"/>
          </w:tcPr>
          <w:p w14:paraId="5EC53961">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符合相关标准</w:t>
            </w:r>
          </w:p>
        </w:tc>
        <w:tc>
          <w:tcPr>
            <w:tcW w:w="1864" w:type="dxa"/>
            <w:vAlign w:val="center"/>
          </w:tcPr>
          <w:p w14:paraId="2B9A362B">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符合相关标准</w:t>
            </w:r>
          </w:p>
        </w:tc>
        <w:tc>
          <w:tcPr>
            <w:tcW w:w="2025" w:type="dxa"/>
            <w:vAlign w:val="center"/>
          </w:tcPr>
          <w:p w14:paraId="38522D3A">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符合相关标准</w:t>
            </w:r>
          </w:p>
        </w:tc>
      </w:tr>
    </w:tbl>
    <w:p w14:paraId="42D5E001">
      <w:pPr>
        <w:keepNext w:val="0"/>
        <w:keepLines w:val="0"/>
        <w:pageBreakBefore w:val="0"/>
        <w:widowControl w:val="0"/>
        <w:numPr>
          <w:ilvl w:val="0"/>
          <w:numId w:val="0"/>
        </w:numPr>
        <w:kinsoku/>
        <w:wordWrap/>
        <w:overflowPunct/>
        <w:topLinePunct w:val="0"/>
        <w:bidi w:val="0"/>
        <w:snapToGrid w:val="0"/>
        <w:spacing w:line="600" w:lineRule="exac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五、在促进社会可持续发展方面履行的社会责任</w:t>
      </w:r>
    </w:p>
    <w:p w14:paraId="5C399F6F">
      <w:pPr>
        <w:pStyle w:val="2"/>
        <w:keepNext w:val="0"/>
        <w:keepLines w:val="0"/>
        <w:pageBreakBefore w:val="0"/>
        <w:widowControl w:val="0"/>
        <w:numPr>
          <w:ilvl w:val="0"/>
          <w:numId w:val="0"/>
        </w:numPr>
        <w:kinsoku/>
        <w:wordWrap/>
        <w:overflowPunct/>
        <w:topLinePunct w:val="0"/>
        <w:bidi w:val="0"/>
        <w:spacing w:after="0" w:line="600" w:lineRule="exact"/>
        <w:jc w:val="both"/>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（一）保障股东权益</w:t>
      </w:r>
    </w:p>
    <w:p w14:paraId="7A4E1485">
      <w:pPr>
        <w:pStyle w:val="2"/>
        <w:keepNext w:val="0"/>
        <w:keepLines w:val="0"/>
        <w:pageBreakBefore w:val="0"/>
        <w:widowControl w:val="0"/>
        <w:numPr>
          <w:ilvl w:val="0"/>
          <w:numId w:val="0"/>
        </w:numPr>
        <w:kinsoku/>
        <w:wordWrap/>
        <w:overflowPunct/>
        <w:topLinePunct w:val="0"/>
        <w:bidi w:val="0"/>
        <w:spacing w:after="0" w:line="600" w:lineRule="exact"/>
        <w:ind w:firstLine="560"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自成立以来，严格按照《公司法》、《公司章程》等有关法律法规和规章制度的要求，规范运行，不断完善公司治理结构，公平对待所有股东，确保股东充分享有法律、法规、规章所规定的各项权益。公司制定并完善了《公司章程》、股东会议事规则》、《董事会议事规则》、《监事会议事规则》、《资金使用和管理办法》、《采购控制程序》、《生产控制程序》、《内部问责制度》等规章制度，公司董事会、监事会操作规范、运作有效，充分维护了股东、员工、客户、供应商等相关方的利益。</w:t>
      </w:r>
    </w:p>
    <w:p w14:paraId="0CFD691F">
      <w:pPr>
        <w:pStyle w:val="2"/>
        <w:keepNext w:val="0"/>
        <w:keepLines w:val="0"/>
        <w:pageBreakBefore w:val="0"/>
        <w:widowControl w:val="0"/>
        <w:numPr>
          <w:ilvl w:val="0"/>
          <w:numId w:val="0"/>
        </w:numPr>
        <w:kinsoku/>
        <w:wordWrap/>
        <w:overflowPunct/>
        <w:topLinePunct w:val="0"/>
        <w:bidi w:val="0"/>
        <w:spacing w:after="0" w:line="600" w:lineRule="exact"/>
        <w:ind w:firstLine="560" w:firstLineChars="20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公司以股东利益最大化为目标，追求卓越的运行表现，让股东充分分享公司良好的经营成果。2024年，我国宏观经济虽总体运行平稳，但中美贸易战、经济下行压力和风险依然较大，企业经营困难等问题普遍突出。公司针对市场的现实和潜在需求，确定研发方向，做好技术储备，使企业的科技创新能力和市场拓展能力更加协调。公司依托研发中心，加大研发投入力度，2024年研发投入2906万元，营收</w:t>
      </w:r>
      <w:r>
        <w:rPr>
          <w:rFonts w:hint="eastAsia" w:ascii="仿宋" w:hAnsi="仿宋" w:eastAsia="仿宋" w:cs="仿宋"/>
          <w:sz w:val="28"/>
          <w:szCs w:val="28"/>
          <w:highlight w:val="none"/>
          <w:lang w:val="en-US" w:eastAsia="zh-CN"/>
        </w:rPr>
        <w:t>占比5.7%，完善“项目为主，全员创新”的企业技术创新体系，培育产业核心技术、关键工艺和自主知识产权，研究开发功能性、差别化产品，提高高附加值产品比重。公司致力于新材料、新工艺的开发利用，积极推行清洁生产技术，努力提高产品效能，降低产品能耗，实现技术、品牌、质量、性能、节能环保等在行业内全面领先。</w:t>
      </w:r>
    </w:p>
    <w:p w14:paraId="37FC3E07">
      <w:pPr>
        <w:pStyle w:val="2"/>
        <w:keepNext w:val="0"/>
        <w:keepLines w:val="0"/>
        <w:pageBreakBefore w:val="0"/>
        <w:widowControl w:val="0"/>
        <w:numPr>
          <w:ilvl w:val="0"/>
          <w:numId w:val="0"/>
        </w:numPr>
        <w:kinsoku/>
        <w:wordWrap/>
        <w:overflowPunct/>
        <w:topLinePunct w:val="0"/>
        <w:bidi w:val="0"/>
        <w:spacing w:after="0" w:line="600" w:lineRule="exact"/>
        <w:ind w:firstLine="560" w:firstLineChars="20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2024年，公司紧紧抓住国家促内销和发展新质生产力等大好时机，上下团结一心，充分利用公司的行业品牌地位和竞争优势，致力于五强化、五突出，即：不断强化结构调整，突出资源整合；强化科技创新，突出数智赋能；强化清洁生产，突出高效低耗；强化市场营销，突出市场开发；强化队伍建设，突出文化引领。实现公司稳定健康发展。</w:t>
      </w:r>
    </w:p>
    <w:p w14:paraId="72B3D7D4">
      <w:pPr>
        <w:pStyle w:val="2"/>
        <w:keepNext w:val="0"/>
        <w:keepLines w:val="0"/>
        <w:pageBreakBefore w:val="0"/>
        <w:widowControl w:val="0"/>
        <w:numPr>
          <w:ilvl w:val="0"/>
          <w:numId w:val="10"/>
        </w:numPr>
        <w:kinsoku/>
        <w:wordWrap/>
        <w:overflowPunct/>
        <w:topLinePunct w:val="0"/>
        <w:bidi w:val="0"/>
        <w:spacing w:after="0" w:line="600" w:lineRule="exact"/>
        <w:jc w:val="both"/>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强化员工培训</w:t>
      </w:r>
    </w:p>
    <w:p w14:paraId="3119C5CA">
      <w:pPr>
        <w:pStyle w:val="2"/>
        <w:keepNext w:val="0"/>
        <w:keepLines w:val="0"/>
        <w:pageBreakBefore w:val="0"/>
        <w:widowControl w:val="0"/>
        <w:numPr>
          <w:ilvl w:val="0"/>
          <w:numId w:val="0"/>
        </w:numPr>
        <w:kinsoku/>
        <w:wordWrap/>
        <w:overflowPunct/>
        <w:topLinePunct w:val="0"/>
        <w:bidi w:val="0"/>
        <w:spacing w:after="0" w:line="600" w:lineRule="exact"/>
        <w:ind w:firstLine="560" w:firstLineChars="20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2024年公司开展新员工培训、卓越绩效管理培训、技能大师工作室技能培训、高级工培训、生产培训、数字化管理培训、质量测量体系培训等项目，合计受训人次1200余人次，培训总时数327小时，按每天8小时计算，全年员工培训41天。通过良好的培训体系建设，公司团队形成了学比赶超的竞争氛围，充分展示劳动精神、奋斗精神、奉献精神、创造精神、节约精神的良好风貌，造就了一支充满责任感、有激情、能战斗的优秀团队。</w:t>
      </w:r>
    </w:p>
    <w:p w14:paraId="36074987">
      <w:pPr>
        <w:pStyle w:val="2"/>
        <w:keepNext w:val="0"/>
        <w:keepLines w:val="0"/>
        <w:pageBreakBefore w:val="0"/>
        <w:widowControl w:val="0"/>
        <w:numPr>
          <w:ilvl w:val="0"/>
          <w:numId w:val="0"/>
        </w:numPr>
        <w:kinsoku/>
        <w:wordWrap/>
        <w:overflowPunct/>
        <w:topLinePunct w:val="0"/>
        <w:bidi w:val="0"/>
        <w:spacing w:after="0" w:line="600" w:lineRule="exact"/>
        <w:ind w:firstLine="560" w:firstLineChars="20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近三年来，公司涌现出市级劳动模范、县人大会代表、县十大杰出青年、县优秀党员、省企业创新达人、市五一巾帼标兵、市大学生就业之星、象山县青年岗位能手等优秀员工，市工人先锋号；“安康杯竞赛活动”优秀班组等优秀团队；培养了副高级工程师4名、工程师12名，高级技师2名，二级技师18名，高级工99名。荣获浙江工匠1名，浙江青年工匠6名，宁波工匠1名，宁波青年工匠6名，象山半岛工匠3名，象山半岛青年工匠4名。</w:t>
      </w:r>
    </w:p>
    <w:p w14:paraId="7112066D">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val="0"/>
        <w:spacing w:line="600" w:lineRule="exact"/>
        <w:rPr>
          <w:rFonts w:hint="eastAsia" w:ascii="仿宋" w:hAnsi="仿宋" w:eastAsia="仿宋" w:cs="仿宋"/>
          <w:b/>
          <w:bCs/>
          <w:kern w:val="0"/>
          <w:sz w:val="28"/>
          <w:szCs w:val="28"/>
        </w:rPr>
      </w:pPr>
      <w:r>
        <w:rPr>
          <w:rFonts w:hint="eastAsia" w:ascii="仿宋" w:hAnsi="仿宋" w:eastAsia="仿宋" w:cs="仿宋"/>
          <w:b/>
          <w:sz w:val="28"/>
          <w:szCs w:val="28"/>
        </w:rPr>
        <w:t>1、培训需求的识别和培训计划的制定</w:t>
      </w:r>
    </w:p>
    <w:p w14:paraId="3D913003">
      <w:pPr>
        <w:pStyle w:val="14"/>
        <w:keepNext w:val="0"/>
        <w:keepLines w:val="0"/>
        <w:pageBreakBefore w:val="0"/>
        <w:widowControl w:val="0"/>
        <w:kinsoku/>
        <w:wordWrap/>
        <w:overflowPunct/>
        <w:topLinePunct w:val="0"/>
        <w:bidi w:val="0"/>
        <w:snapToGrid w:val="0"/>
        <w:spacing w:before="0" w:beforeAutospacing="0" w:after="0" w:afterAutospacing="0" w:line="600" w:lineRule="exact"/>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随着公司的高速发展，对员工的培训、教育变得更加重要。公司行政部结合人力资源规划、部门主管对员工的培训需求分析以及员工自身的兴趣和能力设置个性化的培训计划。每年年底，对各部门下发《培训需求调查表》，该表主要由公共管理课程选择以及其他培训内容申请两份组成，公共管理培训课程的主要形式有外训或外聘培训，主要是委托第三方进行培训。此外，新员工培训计划由行政部制定，将三类培训需求汇总以后，根据上一年的培训情况对于课程进行一定的调整，最后形成《年度培训计划》。</w:t>
      </w:r>
    </w:p>
    <w:p w14:paraId="30C653A3">
      <w:pPr>
        <w:pStyle w:val="14"/>
        <w:keepNext w:val="0"/>
        <w:keepLines w:val="0"/>
        <w:pageBreakBefore w:val="0"/>
        <w:widowControl w:val="0"/>
        <w:kinsoku/>
        <w:wordWrap/>
        <w:overflowPunct/>
        <w:topLinePunct w:val="0"/>
        <w:bidi w:val="0"/>
        <w:snapToGrid w:val="0"/>
        <w:spacing w:before="0" w:beforeAutospacing="0" w:after="0" w:afterAutospacing="0" w:line="600" w:lineRule="exact"/>
        <w:ind w:firstLine="0" w:firstLineChars="0"/>
        <w:textAlignment w:val="baseline"/>
        <w:rPr>
          <w:rFonts w:hint="eastAsia" w:ascii="仿宋" w:hAnsi="仿宋" w:eastAsia="仿宋" w:cs="仿宋"/>
          <w:sz w:val="28"/>
          <w:szCs w:val="28"/>
        </w:rPr>
      </w:pPr>
      <w:r>
        <w:rPr>
          <w:rFonts w:hint="eastAsia" w:ascii="仿宋" w:hAnsi="仿宋" w:eastAsia="仿宋" w:cs="仿宋"/>
          <w:b/>
          <w:sz w:val="28"/>
          <w:szCs w:val="28"/>
          <w:lang w:val="en-US" w:eastAsia="zh-CN"/>
        </w:rPr>
        <w:t>2、</w:t>
      </w:r>
      <w:r>
        <w:rPr>
          <w:rFonts w:hint="eastAsia" w:ascii="仿宋" w:hAnsi="仿宋" w:eastAsia="仿宋" w:cs="仿宋"/>
          <w:b/>
          <w:sz w:val="28"/>
          <w:szCs w:val="28"/>
        </w:rPr>
        <w:t>培训的组织和实施</w:t>
      </w:r>
    </w:p>
    <w:p w14:paraId="4CBB3FDC">
      <w:pPr>
        <w:pStyle w:val="14"/>
        <w:keepNext w:val="0"/>
        <w:keepLines w:val="0"/>
        <w:pageBreakBefore w:val="0"/>
        <w:widowControl w:val="0"/>
        <w:kinsoku/>
        <w:wordWrap/>
        <w:overflowPunct/>
        <w:topLinePunct w:val="0"/>
        <w:bidi w:val="0"/>
        <w:snapToGrid w:val="0"/>
        <w:spacing w:before="0" w:beforeAutospacing="0" w:after="0" w:afterAutospacing="0" w:line="600" w:lineRule="exact"/>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公司的培训体系与战略规划和经营目标相联系，构建了完善的培训流程，明确了培训系统的运作环节，为培训的有效实施提供指引。</w:t>
      </w:r>
    </w:p>
    <w:p w14:paraId="045A0270">
      <w:pPr>
        <w:pStyle w:val="14"/>
        <w:keepNext w:val="0"/>
        <w:keepLines w:val="0"/>
        <w:pageBreakBefore w:val="0"/>
        <w:widowControl w:val="0"/>
        <w:kinsoku/>
        <w:wordWrap/>
        <w:overflowPunct/>
        <w:topLinePunct w:val="0"/>
        <w:bidi w:val="0"/>
        <w:snapToGrid w:val="0"/>
        <w:spacing w:before="0" w:beforeAutospacing="0" w:after="0" w:afterAutospacing="0" w:line="600" w:lineRule="exact"/>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行政部负责公司《年度培训计划》的制定及组织实施。根据员工类型来分，新员工培训包括公司基础教育，部门基础教育，岗位技能培训等，具备科学的定岗培训流程；转岗人员培训包括部门基础教育和岗位技能培训；在岗人员每年至少进行一次全面的岗位技能培训和考核；特殊作业人员培训中，特殊、关键工序和关键测量过程操作人员的培训由所在岗位技术负责人负责培训，合格后持证上岗；重大环境影响和重大风险岗位由所在岗位的部门负责人进行培训，培训后考核合格后上岗；工程技术人员及管理人员培训一般邀请外部专家来企业授课或外派这些人员进行学习。</w:t>
      </w:r>
    </w:p>
    <w:p w14:paraId="1CEDD026">
      <w:pPr>
        <w:pStyle w:val="14"/>
        <w:keepNext w:val="0"/>
        <w:keepLines w:val="0"/>
        <w:pageBreakBefore w:val="0"/>
        <w:widowControl w:val="0"/>
        <w:kinsoku/>
        <w:wordWrap/>
        <w:overflowPunct/>
        <w:topLinePunct w:val="0"/>
        <w:bidi w:val="0"/>
        <w:snapToGrid w:val="0"/>
        <w:spacing w:before="0" w:beforeAutospacing="0" w:after="0" w:afterAutospacing="0" w:line="600" w:lineRule="exact"/>
        <w:ind w:firstLine="0" w:firstLineChars="0"/>
        <w:textAlignment w:val="baseline"/>
        <w:rPr>
          <w:rFonts w:hint="eastAsia" w:ascii="仿宋" w:hAnsi="仿宋" w:eastAsia="仿宋" w:cs="仿宋"/>
          <w:b/>
          <w:sz w:val="28"/>
          <w:szCs w:val="28"/>
        </w:rPr>
      </w:pPr>
      <w:r>
        <w:rPr>
          <w:rFonts w:hint="eastAsia" w:ascii="仿宋" w:hAnsi="仿宋" w:eastAsia="仿宋" w:cs="仿宋"/>
          <w:b/>
          <w:sz w:val="28"/>
          <w:szCs w:val="28"/>
        </w:rPr>
        <w:t>3、培训效果评估</w:t>
      </w:r>
    </w:p>
    <w:p w14:paraId="66318E44">
      <w:pPr>
        <w:pStyle w:val="14"/>
        <w:keepNext w:val="0"/>
        <w:keepLines w:val="0"/>
        <w:pageBreakBefore w:val="0"/>
        <w:widowControl w:val="0"/>
        <w:kinsoku/>
        <w:wordWrap/>
        <w:overflowPunct/>
        <w:topLinePunct w:val="0"/>
        <w:bidi w:val="0"/>
        <w:snapToGrid w:val="0"/>
        <w:spacing w:before="0" w:beforeAutospacing="0" w:after="0" w:afterAutospacing="0"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行政部定期组织公司负责人及员工代表等召开年度培训工作会议，评价培训有效性。对于公司新进人员，采取系统的定岗培训及评价流程，力求能够引进适应公司文化、学习能力强的人才，并迅速发挥其才能。此外，还通过理论考核、操作考核、业绩评价、观察等方法进行培训效果评价。培训记录将会记入个人档案，通过对个人档案的调用，可以进一步明确员工所培训的项目以及员工目前所处的水平，以作为考核、晋升的依据。</w:t>
      </w:r>
    </w:p>
    <w:p w14:paraId="6EDEBFA0">
      <w:pPr>
        <w:pStyle w:val="14"/>
        <w:keepNext w:val="0"/>
        <w:keepLines w:val="0"/>
        <w:pageBreakBefore w:val="0"/>
        <w:widowControl w:val="0"/>
        <w:numPr>
          <w:ilvl w:val="0"/>
          <w:numId w:val="10"/>
        </w:numPr>
        <w:kinsoku/>
        <w:wordWrap/>
        <w:overflowPunct/>
        <w:topLinePunct w:val="0"/>
        <w:bidi w:val="0"/>
        <w:snapToGrid w:val="0"/>
        <w:spacing w:before="0" w:beforeAutospacing="0" w:after="0" w:afterAutospacing="0" w:line="600" w:lineRule="exact"/>
        <w:ind w:left="0" w:leftChars="0" w:firstLine="0" w:firstLine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深入了解员工需求，提高员工满意度</w:t>
      </w:r>
    </w:p>
    <w:p w14:paraId="0EFE39CB">
      <w:pPr>
        <w:keepNext w:val="0"/>
        <w:keepLines w:val="0"/>
        <w:pageBreakBefore w:val="0"/>
        <w:widowControl w:val="0"/>
        <w:kinsoku/>
        <w:wordWrap/>
        <w:overflowPunct/>
        <w:topLinePunct w:val="0"/>
        <w:autoSpaceDE/>
        <w:autoSpaceDN/>
        <w:bidi w:val="0"/>
        <w:adjustRightInd/>
        <w:snapToGrid w:val="0"/>
        <w:spacing w:line="600" w:lineRule="exact"/>
        <w:rPr>
          <w:rFonts w:hint="eastAsia" w:ascii="仿宋" w:hAnsi="仿宋" w:eastAsia="仿宋" w:cs="仿宋"/>
          <w:sz w:val="28"/>
          <w:szCs w:val="28"/>
        </w:rPr>
      </w:pPr>
      <w:r>
        <w:rPr>
          <w:rFonts w:hint="eastAsia" w:ascii="仿宋" w:hAnsi="仿宋" w:eastAsia="仿宋" w:cs="仿宋"/>
          <w:b/>
          <w:bCs/>
          <w:sz w:val="28"/>
          <w:szCs w:val="28"/>
        </w:rPr>
        <w:t>1、营造科学、安全、环保的工作环境</w:t>
      </w:r>
    </w:p>
    <w:p w14:paraId="60A30CF7">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公司的劳动用工制度、工资分配制度以及其它内部管理制度都遵循国家《劳动法》、《安全生产法》、《职业病防治法》等有关法律法规，与职工依法签订劳动合同，建立并完善平等协商、集体合同制度，定期发放工资，无拖欠工资、超时加班现象。</w:t>
      </w:r>
    </w:p>
    <w:p w14:paraId="416982DE">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公司制订</w:t>
      </w:r>
      <w:r>
        <w:rPr>
          <w:rFonts w:hint="eastAsia" w:ascii="仿宋" w:hAnsi="仿宋" w:eastAsia="仿宋" w:cs="仿宋"/>
          <w:color w:val="000000"/>
          <w:kern w:val="0"/>
          <w:sz w:val="28"/>
          <w:szCs w:val="28"/>
        </w:rPr>
        <w:t>并实施安全生产标准化，制订了</w:t>
      </w:r>
      <w:r>
        <w:rPr>
          <w:rFonts w:hint="eastAsia" w:ascii="仿宋" w:hAnsi="仿宋" w:eastAsia="仿宋" w:cs="仿宋"/>
          <w:sz w:val="28"/>
          <w:szCs w:val="28"/>
        </w:rPr>
        <w:t>事故处理控制程序等相关制度，帮助组织与员工识别安全生产注意事项，群策群防，确保</w:t>
      </w:r>
      <w:r>
        <w:rPr>
          <w:rFonts w:hint="eastAsia" w:ascii="仿宋" w:hAnsi="仿宋" w:eastAsia="仿宋" w:cs="仿宋"/>
          <w:kern w:val="0"/>
          <w:sz w:val="28"/>
          <w:szCs w:val="28"/>
        </w:rPr>
        <w:t>安全生产标准化体系能够有效运行，并获评安全生产标准化三级企业</w:t>
      </w:r>
      <w:r>
        <w:rPr>
          <w:rFonts w:hint="eastAsia" w:ascii="仿宋" w:hAnsi="仿宋" w:eastAsia="仿宋" w:cs="仿宋"/>
          <w:sz w:val="28"/>
          <w:szCs w:val="28"/>
        </w:rPr>
        <w:t>。</w:t>
      </w:r>
    </w:p>
    <w:p w14:paraId="55696528">
      <w:pPr>
        <w:pStyle w:val="14"/>
        <w:keepNext w:val="0"/>
        <w:keepLines w:val="0"/>
        <w:pageBreakBefore w:val="0"/>
        <w:widowControl w:val="0"/>
        <w:numPr>
          <w:ilvl w:val="0"/>
          <w:numId w:val="11"/>
        </w:numPr>
        <w:kinsoku/>
        <w:wordWrap/>
        <w:overflowPunct/>
        <w:topLinePunct w:val="0"/>
        <w:autoSpaceDE/>
        <w:autoSpaceDN/>
        <w:bidi w:val="0"/>
        <w:adjustRightInd/>
        <w:snapToGrid w:val="0"/>
        <w:spacing w:before="0" w:beforeAutospacing="0" w:after="0" w:afterAutospacing="0" w:line="600" w:lineRule="exact"/>
        <w:ind w:left="23" w:leftChars="0" w:firstLineChars="0"/>
        <w:jc w:val="center"/>
        <w:textAlignment w:val="baseline"/>
        <w:rPr>
          <w:rFonts w:hint="eastAsia" w:ascii="仿宋" w:hAnsi="仿宋" w:eastAsia="仿宋" w:cs="仿宋"/>
          <w:b/>
          <w:sz w:val="28"/>
          <w:szCs w:val="28"/>
        </w:rPr>
      </w:pPr>
      <w:r>
        <w:rPr>
          <w:rFonts w:hint="eastAsia" w:ascii="仿宋" w:hAnsi="仿宋" w:eastAsia="仿宋" w:cs="仿宋"/>
          <w:b/>
          <w:sz w:val="28"/>
          <w:szCs w:val="28"/>
        </w:rPr>
        <w:t>关键工作场所的测量项目、测量方法和测量指标</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1621"/>
        <w:gridCol w:w="2950"/>
        <w:gridCol w:w="2873"/>
      </w:tblGrid>
      <w:tr w14:paraId="0664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blHeader/>
          <w:jc w:val="center"/>
        </w:trPr>
        <w:tc>
          <w:tcPr>
            <w:tcW w:w="1729" w:type="dxa"/>
            <w:shd w:val="clear" w:color="auto" w:fill="0070C0"/>
            <w:vAlign w:val="center"/>
          </w:tcPr>
          <w:p w14:paraId="5C8BFF11">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关键场所</w:t>
            </w:r>
          </w:p>
        </w:tc>
        <w:tc>
          <w:tcPr>
            <w:tcW w:w="1621" w:type="dxa"/>
            <w:shd w:val="clear" w:color="auto" w:fill="0070C0"/>
            <w:vAlign w:val="center"/>
          </w:tcPr>
          <w:p w14:paraId="3D407739">
            <w:pPr>
              <w:pageBreakBefore w:val="0"/>
              <w:kinsoku/>
              <w:overflowPunct/>
              <w:topLinePunct w:val="0"/>
              <w:bidi w:val="0"/>
              <w:snapToGrid w:val="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测量项目</w:t>
            </w:r>
          </w:p>
        </w:tc>
        <w:tc>
          <w:tcPr>
            <w:tcW w:w="2950" w:type="dxa"/>
            <w:shd w:val="clear" w:color="auto" w:fill="0070C0"/>
            <w:vAlign w:val="center"/>
          </w:tcPr>
          <w:p w14:paraId="306E9862">
            <w:pPr>
              <w:pageBreakBefore w:val="0"/>
              <w:kinsoku/>
              <w:overflowPunct/>
              <w:topLinePunct w:val="0"/>
              <w:bidi w:val="0"/>
              <w:snapToGrid w:val="0"/>
              <w:ind w:firstLine="562" w:firstLineChars="200"/>
              <w:jc w:val="center"/>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测量方法</w:t>
            </w:r>
          </w:p>
        </w:tc>
        <w:tc>
          <w:tcPr>
            <w:tcW w:w="2874" w:type="dxa"/>
            <w:shd w:val="clear" w:color="auto" w:fill="0070C0"/>
            <w:vAlign w:val="center"/>
          </w:tcPr>
          <w:p w14:paraId="4D4344AB">
            <w:pPr>
              <w:pageBreakBefore w:val="0"/>
              <w:kinsoku/>
              <w:overflowPunct/>
              <w:topLinePunct w:val="0"/>
              <w:bidi w:val="0"/>
              <w:snapToGrid w:val="0"/>
              <w:ind w:firstLine="562" w:firstLineChars="200"/>
              <w:rPr>
                <w:rFonts w:hint="eastAsia" w:ascii="仿宋" w:hAnsi="仿宋" w:eastAsia="仿宋" w:cs="仿宋"/>
                <w:b/>
                <w:bCs/>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测量指标</w:t>
            </w:r>
          </w:p>
        </w:tc>
      </w:tr>
      <w:tr w14:paraId="504D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29" w:type="dxa"/>
            <w:shd w:val="clear" w:color="auto" w:fill="FFFFFF"/>
            <w:vAlign w:val="center"/>
          </w:tcPr>
          <w:p w14:paraId="41658F26">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kern w:val="0"/>
                <w:sz w:val="28"/>
                <w:szCs w:val="28"/>
              </w:rPr>
              <w:t>工作场地</w:t>
            </w:r>
          </w:p>
        </w:tc>
        <w:tc>
          <w:tcPr>
            <w:tcW w:w="1621" w:type="dxa"/>
            <w:shd w:val="clear" w:color="auto" w:fill="FFFFFF"/>
            <w:vAlign w:val="center"/>
          </w:tcPr>
          <w:p w14:paraId="03A0ACBF">
            <w:pPr>
              <w:pageBreakBefore w:val="0"/>
              <w:kinsoku/>
              <w:overflowPunct/>
              <w:topLinePunct w:val="0"/>
              <w:bidi w:val="0"/>
              <w:snapToGrid w:val="0"/>
              <w:ind w:firstLine="560" w:firstLineChars="200"/>
              <w:rPr>
                <w:rFonts w:hint="eastAsia" w:ascii="仿宋" w:hAnsi="仿宋" w:eastAsia="仿宋" w:cs="仿宋"/>
                <w:sz w:val="28"/>
                <w:szCs w:val="28"/>
              </w:rPr>
            </w:pPr>
            <w:r>
              <w:rPr>
                <w:rFonts w:hint="eastAsia" w:ascii="仿宋" w:hAnsi="仿宋" w:eastAsia="仿宋" w:cs="仿宋"/>
                <w:sz w:val="28"/>
                <w:szCs w:val="28"/>
              </w:rPr>
              <w:t>温度</w:t>
            </w:r>
          </w:p>
        </w:tc>
        <w:tc>
          <w:tcPr>
            <w:tcW w:w="2950" w:type="dxa"/>
            <w:shd w:val="clear" w:color="auto" w:fill="FFFFFF"/>
            <w:vAlign w:val="center"/>
          </w:tcPr>
          <w:p w14:paraId="611DCCDD">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仪器检测法</w:t>
            </w:r>
          </w:p>
        </w:tc>
        <w:tc>
          <w:tcPr>
            <w:tcW w:w="2874" w:type="dxa"/>
            <w:shd w:val="clear" w:color="auto" w:fill="FFFFFF"/>
            <w:vAlign w:val="center"/>
          </w:tcPr>
          <w:p w14:paraId="4E18C620">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控制在国家标准内。</w:t>
            </w:r>
          </w:p>
        </w:tc>
      </w:tr>
      <w:tr w14:paraId="1923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29" w:type="dxa"/>
            <w:shd w:val="clear" w:color="auto" w:fill="FFFFFF"/>
            <w:vAlign w:val="center"/>
          </w:tcPr>
          <w:p w14:paraId="75A6A501">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kern w:val="0"/>
                <w:sz w:val="28"/>
                <w:szCs w:val="28"/>
              </w:rPr>
              <w:t>设备操作现场</w:t>
            </w:r>
          </w:p>
        </w:tc>
        <w:tc>
          <w:tcPr>
            <w:tcW w:w="1621" w:type="dxa"/>
            <w:shd w:val="clear" w:color="auto" w:fill="FFFFFF"/>
            <w:vAlign w:val="center"/>
          </w:tcPr>
          <w:p w14:paraId="08377723">
            <w:pPr>
              <w:pageBreakBefore w:val="0"/>
              <w:kinsoku/>
              <w:overflowPunct/>
              <w:topLinePunct w:val="0"/>
              <w:bidi w:val="0"/>
              <w:snapToGrid w:val="0"/>
              <w:ind w:firstLine="280" w:firstLineChars="100"/>
              <w:rPr>
                <w:rFonts w:hint="eastAsia" w:ascii="仿宋" w:hAnsi="仿宋" w:eastAsia="仿宋" w:cs="仿宋"/>
                <w:sz w:val="28"/>
                <w:szCs w:val="28"/>
              </w:rPr>
            </w:pPr>
            <w:r>
              <w:rPr>
                <w:rFonts w:hint="eastAsia" w:ascii="仿宋" w:hAnsi="仿宋" w:eastAsia="仿宋" w:cs="仿宋"/>
                <w:sz w:val="28"/>
                <w:szCs w:val="28"/>
              </w:rPr>
              <w:t>机械隐患</w:t>
            </w:r>
          </w:p>
        </w:tc>
        <w:tc>
          <w:tcPr>
            <w:tcW w:w="2950" w:type="dxa"/>
            <w:shd w:val="clear" w:color="auto" w:fill="FFFFFF"/>
            <w:vAlign w:val="center"/>
          </w:tcPr>
          <w:p w14:paraId="50D58C41">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目视检测法、巡检抽样检测法</w:t>
            </w:r>
          </w:p>
        </w:tc>
        <w:tc>
          <w:tcPr>
            <w:tcW w:w="2874" w:type="dxa"/>
            <w:shd w:val="clear" w:color="auto" w:fill="FFFFFF"/>
            <w:vAlign w:val="center"/>
          </w:tcPr>
          <w:p w14:paraId="3157BF3B">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kern w:val="0"/>
                <w:sz w:val="28"/>
                <w:szCs w:val="28"/>
              </w:rPr>
              <w:t>死亡、重伤、轻伤率控制在国家标准内，隐患整改率100％。</w:t>
            </w:r>
          </w:p>
        </w:tc>
      </w:tr>
      <w:tr w14:paraId="46FA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29" w:type="dxa"/>
            <w:shd w:val="clear" w:color="auto" w:fill="FFFFFF"/>
            <w:vAlign w:val="center"/>
          </w:tcPr>
          <w:p w14:paraId="467D5E0E">
            <w:pPr>
              <w:pageBreakBefore w:val="0"/>
              <w:kinsoku/>
              <w:overflowPunct/>
              <w:topLinePunct w:val="0"/>
              <w:bidi w:val="0"/>
              <w:snapToGrid w:val="0"/>
              <w:jc w:val="center"/>
              <w:rPr>
                <w:rFonts w:hint="eastAsia" w:ascii="仿宋" w:hAnsi="仿宋" w:eastAsia="仿宋" w:cs="仿宋"/>
                <w:kern w:val="0"/>
                <w:sz w:val="28"/>
                <w:szCs w:val="28"/>
              </w:rPr>
            </w:pPr>
            <w:r>
              <w:rPr>
                <w:rFonts w:hint="eastAsia" w:ascii="仿宋" w:hAnsi="仿宋" w:eastAsia="仿宋" w:cs="仿宋"/>
                <w:kern w:val="0"/>
                <w:sz w:val="28"/>
                <w:szCs w:val="28"/>
              </w:rPr>
              <w:t>生产现场</w:t>
            </w:r>
          </w:p>
        </w:tc>
        <w:tc>
          <w:tcPr>
            <w:tcW w:w="1621" w:type="dxa"/>
            <w:shd w:val="clear" w:color="auto" w:fill="FFFFFF"/>
            <w:vAlign w:val="center"/>
          </w:tcPr>
          <w:p w14:paraId="13860FD7">
            <w:pPr>
              <w:pageBreakBefore w:val="0"/>
              <w:kinsoku/>
              <w:overflowPunct/>
              <w:topLinePunct w:val="0"/>
              <w:bidi w:val="0"/>
              <w:snapToGrid w:val="0"/>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噪声</w:t>
            </w:r>
          </w:p>
        </w:tc>
        <w:tc>
          <w:tcPr>
            <w:tcW w:w="2950" w:type="dxa"/>
            <w:shd w:val="clear" w:color="auto" w:fill="FFFFFF"/>
            <w:vAlign w:val="center"/>
          </w:tcPr>
          <w:p w14:paraId="74AF66A9">
            <w:pPr>
              <w:pageBreakBefore w:val="0"/>
              <w:kinsoku/>
              <w:overflowPunct/>
              <w:topLinePunct w:val="0"/>
              <w:bidi w:val="0"/>
              <w:snapToGrid w:val="0"/>
              <w:rPr>
                <w:rFonts w:hint="eastAsia" w:ascii="仿宋" w:hAnsi="仿宋" w:eastAsia="仿宋" w:cs="仿宋"/>
                <w:kern w:val="0"/>
                <w:sz w:val="28"/>
                <w:szCs w:val="28"/>
              </w:rPr>
            </w:pPr>
            <w:r>
              <w:rPr>
                <w:rFonts w:hint="eastAsia" w:ascii="仿宋" w:hAnsi="仿宋" w:eastAsia="仿宋" w:cs="仿宋"/>
                <w:sz w:val="28"/>
                <w:szCs w:val="28"/>
              </w:rPr>
              <w:t>仪器检测法</w:t>
            </w:r>
          </w:p>
        </w:tc>
        <w:tc>
          <w:tcPr>
            <w:tcW w:w="2874" w:type="dxa"/>
            <w:shd w:val="clear" w:color="auto" w:fill="FFFFFF"/>
            <w:vAlign w:val="center"/>
          </w:tcPr>
          <w:p w14:paraId="34C73AA1">
            <w:pPr>
              <w:pageBreakBefore w:val="0"/>
              <w:kinsoku/>
              <w:overflowPunct/>
              <w:topLinePunct w:val="0"/>
              <w:bidi w:val="0"/>
              <w:snapToGrid w:val="0"/>
              <w:rPr>
                <w:rFonts w:hint="eastAsia" w:ascii="仿宋" w:hAnsi="仿宋" w:eastAsia="仿宋" w:cs="仿宋"/>
                <w:kern w:val="0"/>
                <w:sz w:val="28"/>
                <w:szCs w:val="28"/>
              </w:rPr>
            </w:pPr>
            <w:r>
              <w:rPr>
                <w:rFonts w:hint="eastAsia" w:ascii="仿宋" w:hAnsi="仿宋" w:eastAsia="仿宋" w:cs="仿宋"/>
                <w:kern w:val="0"/>
                <w:sz w:val="28"/>
                <w:szCs w:val="28"/>
              </w:rPr>
              <w:t>符合要求。</w:t>
            </w:r>
          </w:p>
        </w:tc>
      </w:tr>
      <w:tr w14:paraId="1134F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29" w:type="dxa"/>
            <w:shd w:val="clear" w:color="auto" w:fill="FFFFFF"/>
            <w:vAlign w:val="center"/>
          </w:tcPr>
          <w:p w14:paraId="77654D10">
            <w:pPr>
              <w:pageBreakBefore w:val="0"/>
              <w:kinsoku/>
              <w:overflowPunct/>
              <w:topLinePunct w:val="0"/>
              <w:bidi w:val="0"/>
              <w:snapToGrid w:val="0"/>
              <w:jc w:val="center"/>
              <w:rPr>
                <w:rFonts w:hint="eastAsia" w:ascii="仿宋" w:hAnsi="仿宋" w:eastAsia="仿宋" w:cs="仿宋"/>
                <w:kern w:val="0"/>
                <w:sz w:val="28"/>
                <w:szCs w:val="28"/>
              </w:rPr>
            </w:pPr>
            <w:r>
              <w:rPr>
                <w:rFonts w:hint="eastAsia" w:ascii="仿宋" w:hAnsi="仿宋" w:eastAsia="仿宋" w:cs="仿宋"/>
                <w:kern w:val="0"/>
                <w:sz w:val="28"/>
                <w:szCs w:val="28"/>
              </w:rPr>
              <w:t>易燃、易爆工作场地</w:t>
            </w:r>
          </w:p>
        </w:tc>
        <w:tc>
          <w:tcPr>
            <w:tcW w:w="1621" w:type="dxa"/>
            <w:shd w:val="clear" w:color="auto" w:fill="FFFFFF"/>
            <w:vAlign w:val="center"/>
          </w:tcPr>
          <w:p w14:paraId="39E6F371">
            <w:pPr>
              <w:pageBreakBefore w:val="0"/>
              <w:kinsoku/>
              <w:overflowPunct/>
              <w:topLinePunct w:val="0"/>
              <w:bidi w:val="0"/>
              <w:snapToGrid w:val="0"/>
              <w:rPr>
                <w:rFonts w:hint="eastAsia" w:ascii="仿宋" w:hAnsi="仿宋" w:eastAsia="仿宋" w:cs="仿宋"/>
                <w:kern w:val="0"/>
                <w:sz w:val="28"/>
                <w:szCs w:val="28"/>
              </w:rPr>
            </w:pPr>
            <w:r>
              <w:rPr>
                <w:rFonts w:hint="eastAsia" w:ascii="仿宋" w:hAnsi="仿宋" w:eastAsia="仿宋" w:cs="仿宋"/>
                <w:sz w:val="28"/>
                <w:szCs w:val="28"/>
              </w:rPr>
              <w:t>防火防爆设施</w:t>
            </w:r>
          </w:p>
        </w:tc>
        <w:tc>
          <w:tcPr>
            <w:tcW w:w="2950" w:type="dxa"/>
            <w:shd w:val="clear" w:color="auto" w:fill="FFFFFF"/>
            <w:vAlign w:val="center"/>
          </w:tcPr>
          <w:p w14:paraId="3F7CB4AF">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目视检测法、抽样检测法</w:t>
            </w:r>
          </w:p>
        </w:tc>
        <w:tc>
          <w:tcPr>
            <w:tcW w:w="2874" w:type="dxa"/>
            <w:shd w:val="clear" w:color="auto" w:fill="FFFFFF"/>
            <w:vAlign w:val="center"/>
          </w:tcPr>
          <w:p w14:paraId="68E72910">
            <w:pPr>
              <w:pageBreakBefore w:val="0"/>
              <w:kinsoku/>
              <w:overflowPunct/>
              <w:topLinePunct w:val="0"/>
              <w:bidi w:val="0"/>
              <w:snapToGrid w:val="0"/>
              <w:rPr>
                <w:rFonts w:hint="eastAsia" w:ascii="仿宋" w:hAnsi="仿宋" w:eastAsia="仿宋" w:cs="仿宋"/>
                <w:kern w:val="0"/>
                <w:sz w:val="28"/>
                <w:szCs w:val="28"/>
              </w:rPr>
            </w:pPr>
            <w:r>
              <w:rPr>
                <w:rFonts w:hint="eastAsia" w:ascii="仿宋" w:hAnsi="仿宋" w:eastAsia="仿宋" w:cs="仿宋"/>
                <w:kern w:val="0"/>
                <w:sz w:val="28"/>
                <w:szCs w:val="28"/>
              </w:rPr>
              <w:t>无火灾事故、</w:t>
            </w:r>
            <w:r>
              <w:rPr>
                <w:rFonts w:hint="eastAsia" w:ascii="仿宋" w:hAnsi="仿宋" w:eastAsia="仿宋" w:cs="仿宋"/>
                <w:sz w:val="28"/>
                <w:szCs w:val="28"/>
              </w:rPr>
              <w:t>爆炸事故</w:t>
            </w:r>
            <w:r>
              <w:rPr>
                <w:rFonts w:hint="eastAsia" w:ascii="仿宋" w:hAnsi="仿宋" w:eastAsia="仿宋" w:cs="仿宋"/>
                <w:kern w:val="0"/>
                <w:sz w:val="28"/>
                <w:szCs w:val="28"/>
              </w:rPr>
              <w:t>发生，隐患整改率100％。</w:t>
            </w:r>
          </w:p>
        </w:tc>
      </w:tr>
      <w:tr w14:paraId="7F8A2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29" w:type="dxa"/>
            <w:shd w:val="clear" w:color="auto" w:fill="FFFFFF"/>
            <w:vAlign w:val="center"/>
          </w:tcPr>
          <w:p w14:paraId="7EC4CD2D">
            <w:pPr>
              <w:pageBreakBefore w:val="0"/>
              <w:kinsoku/>
              <w:overflowPunct/>
              <w:topLinePunct w:val="0"/>
              <w:bidi w:val="0"/>
              <w:snapToGrid w:val="0"/>
              <w:jc w:val="center"/>
              <w:rPr>
                <w:rFonts w:hint="eastAsia" w:ascii="仿宋" w:hAnsi="仿宋" w:eastAsia="仿宋" w:cs="仿宋"/>
                <w:kern w:val="0"/>
                <w:sz w:val="28"/>
                <w:szCs w:val="28"/>
              </w:rPr>
            </w:pPr>
            <w:r>
              <w:rPr>
                <w:rFonts w:hint="eastAsia" w:ascii="仿宋" w:hAnsi="仿宋" w:eastAsia="仿宋" w:cs="仿宋"/>
                <w:kern w:val="0"/>
                <w:sz w:val="28"/>
                <w:szCs w:val="28"/>
              </w:rPr>
              <w:t>办公场地</w:t>
            </w:r>
          </w:p>
        </w:tc>
        <w:tc>
          <w:tcPr>
            <w:tcW w:w="1621" w:type="dxa"/>
            <w:shd w:val="clear" w:color="auto" w:fill="FFFFFF"/>
            <w:vAlign w:val="center"/>
          </w:tcPr>
          <w:p w14:paraId="630BA2B1">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连续工作时间</w:t>
            </w:r>
          </w:p>
        </w:tc>
        <w:tc>
          <w:tcPr>
            <w:tcW w:w="2950" w:type="dxa"/>
            <w:shd w:val="clear" w:color="auto" w:fill="FFFFFF"/>
            <w:vAlign w:val="center"/>
          </w:tcPr>
          <w:p w14:paraId="457692FA">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询问调查法</w:t>
            </w:r>
          </w:p>
        </w:tc>
        <w:tc>
          <w:tcPr>
            <w:tcW w:w="2874" w:type="dxa"/>
            <w:shd w:val="clear" w:color="auto" w:fill="FFFFFF"/>
            <w:vAlign w:val="center"/>
          </w:tcPr>
          <w:p w14:paraId="5FEE4F5A">
            <w:pPr>
              <w:pageBreakBefore w:val="0"/>
              <w:kinsoku/>
              <w:overflowPunct/>
              <w:topLinePunct w:val="0"/>
              <w:bidi w:val="0"/>
              <w:snapToGrid w:val="0"/>
              <w:rPr>
                <w:rFonts w:hint="eastAsia" w:ascii="仿宋" w:hAnsi="仿宋" w:eastAsia="仿宋" w:cs="仿宋"/>
                <w:kern w:val="0"/>
                <w:sz w:val="28"/>
                <w:szCs w:val="28"/>
              </w:rPr>
            </w:pPr>
            <w:r>
              <w:rPr>
                <w:rFonts w:hint="eastAsia" w:ascii="仿宋" w:hAnsi="仿宋" w:eastAsia="仿宋" w:cs="仿宋"/>
                <w:kern w:val="0"/>
                <w:sz w:val="28"/>
                <w:szCs w:val="28"/>
              </w:rPr>
              <w:t>工作精神状态良好。</w:t>
            </w:r>
          </w:p>
        </w:tc>
      </w:tr>
    </w:tbl>
    <w:p w14:paraId="6A872737">
      <w:pPr>
        <w:keepNext w:val="0"/>
        <w:keepLines w:val="0"/>
        <w:pageBreakBefore w:val="0"/>
        <w:widowControl w:val="0"/>
        <w:kinsoku/>
        <w:wordWrap/>
        <w:overflowPunct/>
        <w:topLinePunct w:val="0"/>
        <w:autoSpaceDE/>
        <w:autoSpaceDN/>
        <w:bidi w:val="0"/>
        <w:adjustRightInd/>
        <w:snapToGrid w:val="0"/>
        <w:spacing w:line="600" w:lineRule="exact"/>
        <w:rPr>
          <w:rFonts w:hint="eastAsia" w:ascii="仿宋" w:hAnsi="仿宋" w:eastAsia="仿宋" w:cs="仿宋"/>
          <w:b/>
          <w:sz w:val="28"/>
          <w:szCs w:val="28"/>
        </w:rPr>
      </w:pPr>
      <w:r>
        <w:rPr>
          <w:rFonts w:hint="eastAsia" w:ascii="仿宋" w:hAnsi="仿宋" w:eastAsia="仿宋" w:cs="仿宋"/>
          <w:b/>
          <w:sz w:val="28"/>
          <w:szCs w:val="28"/>
        </w:rPr>
        <w:t>2、应急预案</w:t>
      </w:r>
    </w:p>
    <w:p w14:paraId="21967AF8">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为确保公司生产经营的连续性，公司组建应急小组，配备应急设备，在可能发生的危险情况和紧急状态如火灾、台风、断电等时，迅速起动相应的应急预案，充分发挥应急小组的指挥作用，制订技术保障、物资准备措施，保障员工的利益及避免因事故造成停产，满足顾客对产品及时供给的需求。</w:t>
      </w:r>
    </w:p>
    <w:p w14:paraId="122D19E2">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通过制订各种应急预案，对相关人员进行相应的培训，每年不定期进行应急预案演习，并作演习效果评估，对演习中存在的问题进行改进，提高组织的应急能力及员工处理各种紧急情况的能力。</w:t>
      </w:r>
    </w:p>
    <w:p w14:paraId="057BF29A">
      <w:pPr>
        <w:pStyle w:val="14"/>
        <w:keepNext w:val="0"/>
        <w:keepLines w:val="0"/>
        <w:pageBreakBefore w:val="0"/>
        <w:widowControl w:val="0"/>
        <w:numPr>
          <w:ilvl w:val="0"/>
          <w:numId w:val="11"/>
        </w:numPr>
        <w:kinsoku/>
        <w:wordWrap/>
        <w:overflowPunct/>
        <w:topLinePunct w:val="0"/>
        <w:autoSpaceDE/>
        <w:autoSpaceDN/>
        <w:bidi w:val="0"/>
        <w:adjustRightInd/>
        <w:snapToGrid w:val="0"/>
        <w:spacing w:before="0" w:beforeAutospacing="0" w:after="0" w:afterAutospacing="0" w:line="600" w:lineRule="exact"/>
        <w:ind w:left="23" w:leftChars="0" w:firstLineChars="0"/>
        <w:jc w:val="center"/>
        <w:textAlignment w:val="baseline"/>
        <w:rPr>
          <w:rFonts w:hint="eastAsia" w:ascii="仿宋" w:hAnsi="仿宋" w:eastAsia="仿宋" w:cs="仿宋"/>
          <w:b/>
          <w:sz w:val="28"/>
          <w:szCs w:val="28"/>
        </w:rPr>
      </w:pPr>
      <w:r>
        <w:rPr>
          <w:rFonts w:hint="eastAsia" w:ascii="仿宋" w:hAnsi="仿宋" w:eastAsia="仿宋" w:cs="仿宋"/>
          <w:b/>
          <w:sz w:val="28"/>
          <w:szCs w:val="28"/>
        </w:rPr>
        <w:t>公司应急预案</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97"/>
        <w:gridCol w:w="1641"/>
        <w:gridCol w:w="6330"/>
      </w:tblGrid>
      <w:tr w14:paraId="036E5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1022" w:type="dxa"/>
            <w:shd w:val="clear" w:color="auto" w:fill="0070C0"/>
            <w:vAlign w:val="center"/>
          </w:tcPr>
          <w:p w14:paraId="6812A680">
            <w:pPr>
              <w:pStyle w:val="14"/>
              <w:pageBreakBefore w:val="0"/>
              <w:kinsoku/>
              <w:overflowPunct/>
              <w:topLinePunct w:val="0"/>
              <w:bidi w:val="0"/>
              <w:snapToGrid w:val="0"/>
              <w:spacing w:before="0" w:beforeAutospacing="0" w:after="0" w:afterAutospacing="0" w:line="240" w:lineRule="auto"/>
              <w:ind w:firstLine="0" w:firstLineChars="0"/>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紧急状况</w:t>
            </w:r>
          </w:p>
        </w:tc>
        <w:tc>
          <w:tcPr>
            <w:tcW w:w="1682" w:type="dxa"/>
            <w:shd w:val="clear" w:color="auto" w:fill="0070C0"/>
            <w:vAlign w:val="center"/>
          </w:tcPr>
          <w:p w14:paraId="7E97E929">
            <w:pPr>
              <w:pStyle w:val="14"/>
              <w:pageBreakBefore w:val="0"/>
              <w:kinsoku/>
              <w:overflowPunct/>
              <w:topLinePunct w:val="0"/>
              <w:bidi w:val="0"/>
              <w:snapToGrid w:val="0"/>
              <w:spacing w:before="0" w:beforeAutospacing="0" w:after="0" w:afterAutospacing="0" w:line="240" w:lineRule="auto"/>
              <w:ind w:firstLine="0" w:firstLineChars="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应急预案</w:t>
            </w:r>
          </w:p>
        </w:tc>
        <w:tc>
          <w:tcPr>
            <w:tcW w:w="6490" w:type="dxa"/>
            <w:shd w:val="clear" w:color="auto" w:fill="0070C0"/>
            <w:vAlign w:val="center"/>
          </w:tcPr>
          <w:p w14:paraId="1443C2E1">
            <w:pPr>
              <w:pStyle w:val="14"/>
              <w:pageBreakBefore w:val="0"/>
              <w:kinsoku/>
              <w:overflowPunct/>
              <w:topLinePunct w:val="0"/>
              <w:bidi w:val="0"/>
              <w:snapToGrid w:val="0"/>
              <w:spacing w:before="0" w:beforeAutospacing="0" w:after="0" w:afterAutospacing="0" w:line="240" w:lineRule="auto"/>
              <w:ind w:firstLine="0" w:firstLineChars="0"/>
              <w:jc w:val="center"/>
              <w:rPr>
                <w:rFonts w:hint="eastAsia" w:ascii="仿宋" w:hAnsi="仿宋" w:eastAsia="仿宋" w:cs="仿宋"/>
                <w:b/>
                <w:color w:val="FFFFFF" w:themeColor="background1"/>
                <w:sz w:val="28"/>
                <w:szCs w:val="28"/>
                <w14:textFill>
                  <w14:solidFill>
                    <w14:schemeClr w14:val="bg1"/>
                  </w14:solidFill>
                </w14:textFill>
              </w:rPr>
            </w:pPr>
            <w:r>
              <w:rPr>
                <w:rFonts w:hint="eastAsia" w:ascii="仿宋" w:hAnsi="仿宋" w:eastAsia="仿宋" w:cs="仿宋"/>
                <w:b/>
                <w:color w:val="FFFFFF" w:themeColor="background1"/>
                <w:sz w:val="28"/>
                <w:szCs w:val="28"/>
                <w14:textFill>
                  <w14:solidFill>
                    <w14:schemeClr w14:val="bg1"/>
                  </w14:solidFill>
                </w14:textFill>
              </w:rPr>
              <w:t>应急准备</w:t>
            </w:r>
          </w:p>
        </w:tc>
      </w:tr>
      <w:tr w14:paraId="1FEB4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70" w:hRule="atLeast"/>
          <w:jc w:val="center"/>
        </w:trPr>
        <w:tc>
          <w:tcPr>
            <w:tcW w:w="1022" w:type="dxa"/>
            <w:vAlign w:val="center"/>
          </w:tcPr>
          <w:p w14:paraId="42462445">
            <w:pPr>
              <w:pStyle w:val="14"/>
              <w:pageBreakBefore w:val="0"/>
              <w:kinsoku/>
              <w:overflowPunct/>
              <w:topLinePunct w:val="0"/>
              <w:bidi w:val="0"/>
              <w:snapToGrid w:val="0"/>
              <w:spacing w:before="0" w:beforeAutospacing="0" w:after="0" w:afterAutospacing="0" w:line="240" w:lineRule="auto"/>
              <w:ind w:firstLine="0" w:firstLineChars="0"/>
              <w:jc w:val="center"/>
              <w:textAlignment w:val="baseline"/>
              <w:rPr>
                <w:rFonts w:hint="eastAsia" w:ascii="仿宋" w:hAnsi="仿宋" w:eastAsia="仿宋" w:cs="仿宋"/>
                <w:sz w:val="28"/>
                <w:szCs w:val="28"/>
              </w:rPr>
            </w:pPr>
            <w:r>
              <w:rPr>
                <w:rFonts w:hint="eastAsia" w:ascii="仿宋" w:hAnsi="仿宋" w:eastAsia="仿宋" w:cs="仿宋"/>
                <w:sz w:val="28"/>
                <w:szCs w:val="28"/>
              </w:rPr>
              <w:t>火灾</w:t>
            </w:r>
          </w:p>
        </w:tc>
        <w:tc>
          <w:tcPr>
            <w:tcW w:w="1682" w:type="dxa"/>
            <w:vAlign w:val="center"/>
          </w:tcPr>
          <w:p w14:paraId="763180C7">
            <w:pPr>
              <w:pStyle w:val="14"/>
              <w:pageBreakBefore w:val="0"/>
              <w:kinsoku/>
              <w:overflowPunct/>
              <w:topLinePunct w:val="0"/>
              <w:bidi w:val="0"/>
              <w:snapToGrid w:val="0"/>
              <w:spacing w:before="0" w:beforeAutospacing="0" w:after="0" w:afterAutospacing="0" w:line="240" w:lineRule="auto"/>
              <w:ind w:firstLine="0" w:firstLineChars="0"/>
              <w:textAlignment w:val="baseline"/>
              <w:rPr>
                <w:rFonts w:hint="eastAsia" w:ascii="仿宋" w:hAnsi="仿宋" w:eastAsia="仿宋" w:cs="仿宋"/>
                <w:sz w:val="28"/>
                <w:szCs w:val="28"/>
              </w:rPr>
            </w:pPr>
            <w:r>
              <w:rPr>
                <w:rFonts w:hint="eastAsia" w:ascii="仿宋" w:hAnsi="仿宋" w:eastAsia="仿宋" w:cs="仿宋"/>
                <w:sz w:val="28"/>
                <w:szCs w:val="28"/>
              </w:rPr>
              <w:t>《防火紧急预案》</w:t>
            </w:r>
          </w:p>
        </w:tc>
        <w:tc>
          <w:tcPr>
            <w:tcW w:w="6490" w:type="dxa"/>
            <w:vAlign w:val="center"/>
          </w:tcPr>
          <w:p w14:paraId="00ECFA1C">
            <w:pPr>
              <w:pStyle w:val="14"/>
              <w:pageBreakBefore w:val="0"/>
              <w:kinsoku/>
              <w:overflowPunct/>
              <w:topLinePunct w:val="0"/>
              <w:bidi w:val="0"/>
              <w:snapToGrid w:val="0"/>
              <w:spacing w:before="0" w:beforeAutospacing="0" w:after="0" w:afterAutospacing="0" w:line="240" w:lineRule="auto"/>
              <w:ind w:firstLine="0" w:firstLineChars="0"/>
              <w:jc w:val="both"/>
              <w:textAlignment w:val="baseline"/>
              <w:rPr>
                <w:rFonts w:hint="eastAsia" w:ascii="仿宋" w:hAnsi="仿宋" w:eastAsia="仿宋" w:cs="仿宋"/>
                <w:sz w:val="28"/>
                <w:szCs w:val="28"/>
              </w:rPr>
            </w:pPr>
            <w:r>
              <w:rPr>
                <w:rFonts w:hint="eastAsia" w:ascii="仿宋" w:hAnsi="仿宋" w:eastAsia="仿宋" w:cs="仿宋"/>
                <w:sz w:val="28"/>
                <w:szCs w:val="28"/>
              </w:rPr>
              <w:t>1）行政部是防火事务的执行部门，主要负责防火工作日常检查、防火设备的维护和检查；</w:t>
            </w:r>
          </w:p>
          <w:p w14:paraId="790BF4C4">
            <w:pPr>
              <w:pStyle w:val="14"/>
              <w:pageBreakBefore w:val="0"/>
              <w:kinsoku/>
              <w:overflowPunct/>
              <w:topLinePunct w:val="0"/>
              <w:bidi w:val="0"/>
              <w:snapToGrid w:val="0"/>
              <w:spacing w:before="0" w:beforeAutospacing="0" w:after="0" w:afterAutospacing="0" w:line="240" w:lineRule="auto"/>
              <w:ind w:firstLine="0" w:firstLineChars="0"/>
              <w:jc w:val="both"/>
              <w:textAlignment w:val="baseline"/>
              <w:rPr>
                <w:rFonts w:hint="eastAsia" w:ascii="仿宋" w:hAnsi="仿宋" w:eastAsia="仿宋" w:cs="仿宋"/>
                <w:sz w:val="28"/>
                <w:szCs w:val="28"/>
              </w:rPr>
            </w:pPr>
            <w:r>
              <w:rPr>
                <w:rFonts w:hint="eastAsia" w:ascii="仿宋" w:hAnsi="仿宋" w:eastAsia="仿宋" w:cs="仿宋"/>
                <w:sz w:val="28"/>
                <w:szCs w:val="28"/>
              </w:rPr>
              <w:t>2）每年举行至少一次以上消防实战演练和一次以上消防知识培训。</w:t>
            </w:r>
          </w:p>
        </w:tc>
      </w:tr>
      <w:tr w14:paraId="7C6A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1022" w:type="dxa"/>
            <w:vAlign w:val="center"/>
          </w:tcPr>
          <w:p w14:paraId="04CF6885">
            <w:pPr>
              <w:pStyle w:val="14"/>
              <w:pageBreakBefore w:val="0"/>
              <w:kinsoku/>
              <w:overflowPunct/>
              <w:topLinePunct w:val="0"/>
              <w:bidi w:val="0"/>
              <w:snapToGrid w:val="0"/>
              <w:spacing w:before="0" w:beforeAutospacing="0" w:after="0" w:afterAutospacing="0" w:line="240" w:lineRule="auto"/>
              <w:ind w:firstLine="0" w:firstLineChars="0"/>
              <w:jc w:val="center"/>
              <w:textAlignment w:val="baseline"/>
              <w:rPr>
                <w:rFonts w:hint="eastAsia" w:ascii="仿宋" w:hAnsi="仿宋" w:eastAsia="仿宋" w:cs="仿宋"/>
                <w:sz w:val="28"/>
                <w:szCs w:val="28"/>
              </w:rPr>
            </w:pPr>
            <w:r>
              <w:rPr>
                <w:rFonts w:hint="eastAsia" w:ascii="仿宋" w:hAnsi="仿宋" w:eastAsia="仿宋" w:cs="仿宋"/>
                <w:sz w:val="28"/>
                <w:szCs w:val="28"/>
              </w:rPr>
              <w:t>中毒</w:t>
            </w:r>
          </w:p>
        </w:tc>
        <w:tc>
          <w:tcPr>
            <w:tcW w:w="1682" w:type="dxa"/>
            <w:vAlign w:val="center"/>
          </w:tcPr>
          <w:p w14:paraId="089CD955">
            <w:pPr>
              <w:pStyle w:val="14"/>
              <w:pageBreakBefore w:val="0"/>
              <w:kinsoku/>
              <w:overflowPunct/>
              <w:topLinePunct w:val="0"/>
              <w:bidi w:val="0"/>
              <w:snapToGrid w:val="0"/>
              <w:spacing w:before="0" w:beforeAutospacing="0" w:after="0" w:afterAutospacing="0" w:line="240" w:lineRule="auto"/>
              <w:ind w:firstLine="0" w:firstLineChars="0"/>
              <w:textAlignment w:val="baseline"/>
              <w:rPr>
                <w:rFonts w:hint="eastAsia" w:ascii="仿宋" w:hAnsi="仿宋" w:eastAsia="仿宋" w:cs="仿宋"/>
                <w:sz w:val="28"/>
                <w:szCs w:val="28"/>
              </w:rPr>
            </w:pPr>
            <w:r>
              <w:rPr>
                <w:rFonts w:hint="eastAsia" w:ascii="仿宋" w:hAnsi="仿宋" w:eastAsia="仿宋" w:cs="仿宋"/>
                <w:sz w:val="28"/>
                <w:szCs w:val="28"/>
              </w:rPr>
              <w:t>《中毒事故应急处理预案》</w:t>
            </w:r>
          </w:p>
        </w:tc>
        <w:tc>
          <w:tcPr>
            <w:tcW w:w="6490" w:type="dxa"/>
            <w:vAlign w:val="center"/>
          </w:tcPr>
          <w:p w14:paraId="2EBF3D38">
            <w:pPr>
              <w:pStyle w:val="14"/>
              <w:pageBreakBefore w:val="0"/>
              <w:kinsoku/>
              <w:overflowPunct/>
              <w:topLinePunct w:val="0"/>
              <w:bidi w:val="0"/>
              <w:snapToGrid w:val="0"/>
              <w:spacing w:before="0" w:beforeAutospacing="0" w:after="0" w:afterAutospacing="0" w:line="240" w:lineRule="auto"/>
              <w:ind w:firstLine="0" w:firstLineChars="0"/>
              <w:jc w:val="both"/>
              <w:textAlignment w:val="baseline"/>
              <w:rPr>
                <w:rFonts w:hint="eastAsia" w:ascii="仿宋" w:hAnsi="仿宋" w:eastAsia="仿宋" w:cs="仿宋"/>
                <w:sz w:val="28"/>
                <w:szCs w:val="28"/>
              </w:rPr>
            </w:pPr>
            <w:r>
              <w:rPr>
                <w:rFonts w:hint="eastAsia" w:ascii="仿宋" w:hAnsi="仿宋" w:eastAsia="仿宋" w:cs="仿宋"/>
                <w:sz w:val="28"/>
                <w:szCs w:val="28"/>
              </w:rPr>
              <w:t>实施中毒事故监测预警，根据中毒类别，制定应急措施。</w:t>
            </w:r>
          </w:p>
        </w:tc>
      </w:tr>
      <w:tr w14:paraId="16A74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9" w:hRule="atLeast"/>
          <w:jc w:val="center"/>
        </w:trPr>
        <w:tc>
          <w:tcPr>
            <w:tcW w:w="1022" w:type="dxa"/>
            <w:vAlign w:val="center"/>
          </w:tcPr>
          <w:p w14:paraId="790AA896">
            <w:pPr>
              <w:pStyle w:val="14"/>
              <w:pageBreakBefore w:val="0"/>
              <w:kinsoku/>
              <w:overflowPunct/>
              <w:topLinePunct w:val="0"/>
              <w:bidi w:val="0"/>
              <w:snapToGrid w:val="0"/>
              <w:spacing w:before="0" w:beforeAutospacing="0" w:after="0" w:afterAutospacing="0" w:line="240" w:lineRule="auto"/>
              <w:ind w:firstLine="0" w:firstLineChars="0"/>
              <w:jc w:val="center"/>
              <w:textAlignment w:val="baseline"/>
              <w:rPr>
                <w:rFonts w:hint="eastAsia" w:ascii="仿宋" w:hAnsi="仿宋" w:eastAsia="仿宋" w:cs="仿宋"/>
                <w:sz w:val="28"/>
                <w:szCs w:val="28"/>
              </w:rPr>
            </w:pPr>
            <w:r>
              <w:rPr>
                <w:rFonts w:hint="eastAsia" w:ascii="仿宋" w:hAnsi="仿宋" w:eastAsia="仿宋" w:cs="仿宋"/>
                <w:sz w:val="28"/>
                <w:szCs w:val="28"/>
              </w:rPr>
              <w:t>防台风抗洪灾</w:t>
            </w:r>
          </w:p>
        </w:tc>
        <w:tc>
          <w:tcPr>
            <w:tcW w:w="1682" w:type="dxa"/>
            <w:vAlign w:val="center"/>
          </w:tcPr>
          <w:p w14:paraId="1DBEBF38">
            <w:pPr>
              <w:pageBreakBefore w:val="0"/>
              <w:widowControl/>
              <w:kinsoku/>
              <w:overflowPunct/>
              <w:topLinePunct w:val="0"/>
              <w:bidi w:val="0"/>
              <w:snapToGrid w:val="0"/>
              <w:jc w:val="left"/>
              <w:textAlignment w:val="baseline"/>
              <w:rPr>
                <w:rFonts w:hint="eastAsia" w:ascii="仿宋" w:hAnsi="仿宋" w:eastAsia="仿宋" w:cs="仿宋"/>
                <w:sz w:val="28"/>
                <w:szCs w:val="28"/>
              </w:rPr>
            </w:pPr>
            <w:r>
              <w:rPr>
                <w:rFonts w:hint="eastAsia" w:ascii="仿宋" w:hAnsi="仿宋" w:eastAsia="仿宋" w:cs="仿宋"/>
                <w:sz w:val="28"/>
                <w:szCs w:val="28"/>
              </w:rPr>
              <w:t>《防台风、抗洪灾紧急预案》</w:t>
            </w:r>
          </w:p>
        </w:tc>
        <w:tc>
          <w:tcPr>
            <w:tcW w:w="6490" w:type="dxa"/>
            <w:vAlign w:val="center"/>
          </w:tcPr>
          <w:p w14:paraId="50CA99D4">
            <w:pPr>
              <w:pageBreakBefore w:val="0"/>
              <w:widowControl/>
              <w:kinsoku/>
              <w:overflowPunct/>
              <w:topLinePunct w:val="0"/>
              <w:bidi w:val="0"/>
              <w:snapToGrid w:val="0"/>
              <w:textAlignment w:val="baseline"/>
              <w:rPr>
                <w:rFonts w:hint="eastAsia" w:ascii="仿宋" w:hAnsi="仿宋" w:eastAsia="仿宋" w:cs="仿宋"/>
                <w:sz w:val="28"/>
                <w:szCs w:val="28"/>
              </w:rPr>
            </w:pPr>
            <w:r>
              <w:rPr>
                <w:rFonts w:hint="eastAsia" w:ascii="仿宋" w:hAnsi="仿宋" w:eastAsia="仿宋" w:cs="仿宋"/>
                <w:sz w:val="28"/>
                <w:szCs w:val="28"/>
              </w:rPr>
              <w:t>董事长是公司防台风、抗洪灾指挥部的负责人，各级领导分级负责、层层落实。</w:t>
            </w:r>
          </w:p>
        </w:tc>
      </w:tr>
      <w:tr w14:paraId="7AC4A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9" w:hRule="atLeast"/>
          <w:jc w:val="center"/>
        </w:trPr>
        <w:tc>
          <w:tcPr>
            <w:tcW w:w="1022" w:type="dxa"/>
            <w:vAlign w:val="center"/>
          </w:tcPr>
          <w:p w14:paraId="4EFB3791">
            <w:pPr>
              <w:pStyle w:val="14"/>
              <w:pageBreakBefore w:val="0"/>
              <w:kinsoku/>
              <w:overflowPunct/>
              <w:topLinePunct w:val="0"/>
              <w:bidi w:val="0"/>
              <w:snapToGrid w:val="0"/>
              <w:spacing w:before="0" w:beforeAutospacing="0" w:after="0" w:afterAutospacing="0" w:line="240" w:lineRule="auto"/>
              <w:ind w:firstLine="0" w:firstLineChars="0"/>
              <w:jc w:val="center"/>
              <w:textAlignment w:val="baseline"/>
              <w:rPr>
                <w:rFonts w:hint="eastAsia" w:ascii="仿宋" w:hAnsi="仿宋" w:eastAsia="仿宋" w:cs="仿宋"/>
                <w:sz w:val="28"/>
                <w:szCs w:val="28"/>
              </w:rPr>
            </w:pPr>
            <w:r>
              <w:rPr>
                <w:rFonts w:hint="eastAsia" w:ascii="仿宋" w:hAnsi="仿宋" w:eastAsia="仿宋" w:cs="仿宋"/>
                <w:sz w:val="28"/>
                <w:szCs w:val="28"/>
              </w:rPr>
              <w:t>紧急疏散</w:t>
            </w:r>
          </w:p>
        </w:tc>
        <w:tc>
          <w:tcPr>
            <w:tcW w:w="1682" w:type="dxa"/>
            <w:vAlign w:val="center"/>
          </w:tcPr>
          <w:p w14:paraId="26359808">
            <w:pPr>
              <w:pageBreakBefore w:val="0"/>
              <w:widowControl/>
              <w:kinsoku/>
              <w:overflowPunct/>
              <w:topLinePunct w:val="0"/>
              <w:bidi w:val="0"/>
              <w:snapToGrid w:val="0"/>
              <w:jc w:val="left"/>
              <w:textAlignment w:val="baseline"/>
              <w:rPr>
                <w:rFonts w:hint="eastAsia" w:ascii="仿宋" w:hAnsi="仿宋" w:eastAsia="仿宋" w:cs="仿宋"/>
                <w:color w:val="000000"/>
                <w:sz w:val="28"/>
                <w:szCs w:val="28"/>
              </w:rPr>
            </w:pPr>
            <w:r>
              <w:rPr>
                <w:rFonts w:hint="eastAsia" w:ascii="仿宋" w:hAnsi="仿宋" w:eastAsia="仿宋" w:cs="仿宋"/>
                <w:color w:val="000000"/>
                <w:sz w:val="28"/>
                <w:szCs w:val="28"/>
              </w:rPr>
              <w:t>《紧急疏散预案》</w:t>
            </w:r>
          </w:p>
        </w:tc>
        <w:tc>
          <w:tcPr>
            <w:tcW w:w="6490" w:type="dxa"/>
            <w:vAlign w:val="center"/>
          </w:tcPr>
          <w:p w14:paraId="6D85452F">
            <w:pPr>
              <w:pageBreakBefore w:val="0"/>
              <w:widowControl/>
              <w:kinsoku/>
              <w:overflowPunct/>
              <w:topLinePunct w:val="0"/>
              <w:bidi w:val="0"/>
              <w:snapToGrid w:val="0"/>
              <w:textAlignment w:val="baseline"/>
              <w:rPr>
                <w:rFonts w:hint="eastAsia" w:ascii="仿宋" w:hAnsi="仿宋" w:eastAsia="仿宋" w:cs="仿宋"/>
                <w:color w:val="000000"/>
                <w:sz w:val="28"/>
                <w:szCs w:val="28"/>
              </w:rPr>
            </w:pPr>
            <w:r>
              <w:rPr>
                <w:rFonts w:hint="eastAsia" w:ascii="仿宋" w:hAnsi="仿宋" w:eastAsia="仿宋" w:cs="仿宋"/>
                <w:color w:val="000000"/>
                <w:kern w:val="0"/>
                <w:sz w:val="28"/>
                <w:szCs w:val="28"/>
              </w:rPr>
              <w:t>董事长是公司紧急疏散指挥部的负责人，各级领导分级负责、层层落实。</w:t>
            </w:r>
          </w:p>
        </w:tc>
      </w:tr>
    </w:tbl>
    <w:p w14:paraId="41318ED8">
      <w:pPr>
        <w:keepNext w:val="0"/>
        <w:keepLines w:val="0"/>
        <w:pageBreakBefore w:val="0"/>
        <w:widowControl w:val="0"/>
        <w:kinsoku/>
        <w:wordWrap/>
        <w:overflowPunct/>
        <w:topLinePunct w:val="0"/>
        <w:autoSpaceDE/>
        <w:autoSpaceDN/>
        <w:bidi w:val="0"/>
        <w:snapToGrid w:val="0"/>
        <w:spacing w:line="600" w:lineRule="exact"/>
        <w:rPr>
          <w:rFonts w:hint="eastAsia" w:ascii="仿宋" w:hAnsi="仿宋" w:eastAsia="仿宋" w:cs="仿宋"/>
          <w:b/>
          <w:bCs/>
          <w:sz w:val="28"/>
          <w:szCs w:val="28"/>
        </w:rPr>
      </w:pPr>
      <w:r>
        <w:rPr>
          <w:rFonts w:hint="eastAsia" w:ascii="仿宋" w:hAnsi="仿宋" w:eastAsia="仿宋" w:cs="仿宋"/>
          <w:b/>
          <w:bCs/>
          <w:sz w:val="28"/>
          <w:szCs w:val="28"/>
        </w:rPr>
        <w:t>3、针对不同的员工群体，提供针对性、个性化和多样化的支持</w:t>
      </w:r>
    </w:p>
    <w:p w14:paraId="3168DC36">
      <w:pPr>
        <w:keepNext w:val="0"/>
        <w:keepLines w:val="0"/>
        <w:pageBreakBefore w:val="0"/>
        <w:widowControl w:val="0"/>
        <w:kinsoku/>
        <w:wordWrap/>
        <w:overflowPunct/>
        <w:topLinePunct w:val="0"/>
        <w:autoSpaceDE/>
        <w:autoSpaceDN/>
        <w:bidi w:val="0"/>
        <w:adjustRightInd w:val="0"/>
        <w:snapToGrid w:val="0"/>
        <w:spacing w:line="600" w:lineRule="exact"/>
        <w:ind w:firstLine="420"/>
        <w:rPr>
          <w:rFonts w:hint="eastAsia" w:ascii="仿宋" w:hAnsi="仿宋" w:eastAsia="仿宋" w:cs="仿宋"/>
          <w:sz w:val="28"/>
          <w:szCs w:val="28"/>
        </w:rPr>
      </w:pPr>
      <w:r>
        <w:rPr>
          <w:rFonts w:hint="eastAsia" w:ascii="仿宋" w:hAnsi="仿宋" w:eastAsia="仿宋" w:cs="仿宋"/>
          <w:sz w:val="28"/>
          <w:szCs w:val="28"/>
        </w:rPr>
        <w:t>公司以人为本，根据不同员工的不同需求，制定了各种保障措施，有针对地提供个性化支持。</w:t>
      </w:r>
    </w:p>
    <w:p w14:paraId="772D2824">
      <w:pPr>
        <w:pStyle w:val="14"/>
        <w:keepNext w:val="0"/>
        <w:keepLines w:val="0"/>
        <w:pageBreakBefore w:val="0"/>
        <w:widowControl w:val="0"/>
        <w:numPr>
          <w:ilvl w:val="0"/>
          <w:numId w:val="11"/>
        </w:numPr>
        <w:kinsoku/>
        <w:wordWrap/>
        <w:overflowPunct/>
        <w:topLinePunct w:val="0"/>
        <w:autoSpaceDE/>
        <w:autoSpaceDN/>
        <w:bidi w:val="0"/>
        <w:snapToGrid w:val="0"/>
        <w:spacing w:before="0" w:beforeAutospacing="0" w:after="0" w:afterAutospacing="0" w:line="600" w:lineRule="exact"/>
        <w:ind w:left="23" w:leftChars="0" w:firstLineChars="0"/>
        <w:jc w:val="center"/>
        <w:textAlignment w:val="baseline"/>
        <w:rPr>
          <w:rFonts w:hint="eastAsia" w:ascii="仿宋" w:hAnsi="仿宋" w:eastAsia="仿宋" w:cs="仿宋"/>
          <w:b/>
          <w:sz w:val="28"/>
          <w:szCs w:val="28"/>
        </w:rPr>
      </w:pPr>
      <w:bookmarkStart w:id="5" w:name="_Hlk107231543"/>
      <w:r>
        <w:rPr>
          <w:rFonts w:hint="eastAsia" w:ascii="仿宋" w:hAnsi="仿宋" w:eastAsia="仿宋" w:cs="仿宋"/>
          <w:b/>
          <w:sz w:val="28"/>
          <w:szCs w:val="28"/>
        </w:rPr>
        <w:t>员工个性化需求及支持</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65"/>
        <w:gridCol w:w="1652"/>
        <w:gridCol w:w="5751"/>
      </w:tblGrid>
      <w:tr w14:paraId="3FE6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blHeader/>
          <w:jc w:val="center"/>
        </w:trPr>
        <w:tc>
          <w:tcPr>
            <w:tcW w:w="1612" w:type="dxa"/>
            <w:shd w:val="clear" w:color="auto" w:fill="0070C0"/>
          </w:tcPr>
          <w:p w14:paraId="6D9FCAAC">
            <w:pPr>
              <w:pStyle w:val="36"/>
              <w:pageBreakBefore w:val="0"/>
              <w:kinsoku/>
              <w:overflowPunct/>
              <w:topLinePunct w:val="0"/>
              <w:bidi w:val="0"/>
              <w:snapToGrid w:val="0"/>
              <w:spacing w:line="240" w:lineRule="auto"/>
              <w:rPr>
                <w:rFonts w:hint="eastAsia"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color w:val="FFFFFF" w:themeColor="background1"/>
                <w:sz w:val="28"/>
                <w:szCs w:val="28"/>
                <w14:textFill>
                  <w14:solidFill>
                    <w14:schemeClr w14:val="bg1"/>
                  </w14:solidFill>
                </w14:textFill>
              </w:rPr>
              <w:t>员工</w:t>
            </w:r>
          </w:p>
        </w:tc>
        <w:tc>
          <w:tcPr>
            <w:tcW w:w="1701" w:type="dxa"/>
            <w:shd w:val="clear" w:color="auto" w:fill="0070C0"/>
          </w:tcPr>
          <w:p w14:paraId="3DD4F1D7">
            <w:pPr>
              <w:pStyle w:val="36"/>
              <w:pageBreakBefore w:val="0"/>
              <w:kinsoku/>
              <w:overflowPunct/>
              <w:topLinePunct w:val="0"/>
              <w:bidi w:val="0"/>
              <w:snapToGrid w:val="0"/>
              <w:spacing w:line="240" w:lineRule="auto"/>
              <w:rPr>
                <w:rFonts w:hint="eastAsia"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color w:val="FFFFFF" w:themeColor="background1"/>
                <w:sz w:val="28"/>
                <w:szCs w:val="28"/>
                <w14:textFill>
                  <w14:solidFill>
                    <w14:schemeClr w14:val="bg1"/>
                  </w14:solidFill>
                </w14:textFill>
              </w:rPr>
              <w:t>个性化需要</w:t>
            </w:r>
          </w:p>
        </w:tc>
        <w:tc>
          <w:tcPr>
            <w:tcW w:w="5921" w:type="dxa"/>
            <w:shd w:val="clear" w:color="auto" w:fill="0070C0"/>
          </w:tcPr>
          <w:p w14:paraId="26B31F83">
            <w:pPr>
              <w:pStyle w:val="36"/>
              <w:pageBreakBefore w:val="0"/>
              <w:kinsoku/>
              <w:overflowPunct/>
              <w:topLinePunct w:val="0"/>
              <w:bidi w:val="0"/>
              <w:snapToGrid w:val="0"/>
              <w:spacing w:line="240" w:lineRule="auto"/>
              <w:rPr>
                <w:rFonts w:hint="eastAsia"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color w:val="FFFFFF" w:themeColor="background1"/>
                <w:sz w:val="28"/>
                <w:szCs w:val="28"/>
                <w14:textFill>
                  <w14:solidFill>
                    <w14:schemeClr w14:val="bg1"/>
                  </w14:solidFill>
                </w14:textFill>
              </w:rPr>
              <w:t>支持措施</w:t>
            </w:r>
          </w:p>
        </w:tc>
      </w:tr>
      <w:tr w14:paraId="26368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8" w:hRule="atLeast"/>
          <w:jc w:val="center"/>
        </w:trPr>
        <w:tc>
          <w:tcPr>
            <w:tcW w:w="1612" w:type="dxa"/>
            <w:vMerge w:val="restart"/>
            <w:vAlign w:val="center"/>
          </w:tcPr>
          <w:p w14:paraId="51FB4479">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一线员工</w:t>
            </w:r>
          </w:p>
        </w:tc>
        <w:tc>
          <w:tcPr>
            <w:tcW w:w="1701" w:type="dxa"/>
            <w:vAlign w:val="center"/>
          </w:tcPr>
          <w:p w14:paraId="5883D366">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生产安全</w:t>
            </w:r>
          </w:p>
        </w:tc>
        <w:tc>
          <w:tcPr>
            <w:tcW w:w="5921" w:type="dxa"/>
            <w:vAlign w:val="center"/>
          </w:tcPr>
          <w:p w14:paraId="00F792BF">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开展安全生产培训，健全安全生产配套，设立安全生产示范岗。</w:t>
            </w:r>
          </w:p>
        </w:tc>
      </w:tr>
      <w:tr w14:paraId="75889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1612" w:type="dxa"/>
            <w:vMerge w:val="continue"/>
            <w:vAlign w:val="center"/>
          </w:tcPr>
          <w:p w14:paraId="1EEFF463">
            <w:pPr>
              <w:pageBreakBefore w:val="0"/>
              <w:kinsoku/>
              <w:overflowPunct/>
              <w:topLinePunct w:val="0"/>
              <w:bidi w:val="0"/>
              <w:snapToGrid w:val="0"/>
              <w:jc w:val="center"/>
              <w:rPr>
                <w:rFonts w:hint="eastAsia" w:ascii="仿宋" w:hAnsi="仿宋" w:eastAsia="仿宋" w:cs="仿宋"/>
                <w:sz w:val="28"/>
                <w:szCs w:val="28"/>
              </w:rPr>
            </w:pPr>
          </w:p>
        </w:tc>
        <w:tc>
          <w:tcPr>
            <w:tcW w:w="1701" w:type="dxa"/>
            <w:vAlign w:val="center"/>
          </w:tcPr>
          <w:p w14:paraId="43E05EA8">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技能提升</w:t>
            </w:r>
          </w:p>
        </w:tc>
        <w:tc>
          <w:tcPr>
            <w:tcW w:w="5921" w:type="dxa"/>
            <w:vAlign w:val="center"/>
          </w:tcPr>
          <w:p w14:paraId="31FE57A3">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理论知识培训结合实际操作培训。</w:t>
            </w:r>
          </w:p>
        </w:tc>
      </w:tr>
      <w:tr w14:paraId="60919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2" w:hRule="atLeast"/>
          <w:jc w:val="center"/>
        </w:trPr>
        <w:tc>
          <w:tcPr>
            <w:tcW w:w="1612" w:type="dxa"/>
            <w:vMerge w:val="continue"/>
            <w:vAlign w:val="center"/>
          </w:tcPr>
          <w:p w14:paraId="2B239D10">
            <w:pPr>
              <w:pageBreakBefore w:val="0"/>
              <w:kinsoku/>
              <w:overflowPunct/>
              <w:topLinePunct w:val="0"/>
              <w:bidi w:val="0"/>
              <w:snapToGrid w:val="0"/>
              <w:jc w:val="center"/>
              <w:rPr>
                <w:rFonts w:hint="eastAsia" w:ascii="仿宋" w:hAnsi="仿宋" w:eastAsia="仿宋" w:cs="仿宋"/>
                <w:sz w:val="28"/>
                <w:szCs w:val="28"/>
              </w:rPr>
            </w:pPr>
          </w:p>
        </w:tc>
        <w:tc>
          <w:tcPr>
            <w:tcW w:w="1701" w:type="dxa"/>
            <w:vAlign w:val="center"/>
          </w:tcPr>
          <w:p w14:paraId="562E9251">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生活保障</w:t>
            </w:r>
          </w:p>
        </w:tc>
        <w:tc>
          <w:tcPr>
            <w:tcW w:w="5921" w:type="dxa"/>
            <w:vAlign w:val="center"/>
          </w:tcPr>
          <w:p w14:paraId="3D117BAD">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困难员工慰问金。</w:t>
            </w:r>
          </w:p>
        </w:tc>
      </w:tr>
      <w:tr w14:paraId="6ADB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1612" w:type="dxa"/>
            <w:vMerge w:val="continue"/>
            <w:vAlign w:val="center"/>
          </w:tcPr>
          <w:p w14:paraId="287D7BAC">
            <w:pPr>
              <w:pageBreakBefore w:val="0"/>
              <w:kinsoku/>
              <w:overflowPunct/>
              <w:topLinePunct w:val="0"/>
              <w:bidi w:val="0"/>
              <w:snapToGrid w:val="0"/>
              <w:jc w:val="center"/>
              <w:rPr>
                <w:rFonts w:hint="eastAsia" w:ascii="仿宋" w:hAnsi="仿宋" w:eastAsia="仿宋" w:cs="仿宋"/>
                <w:sz w:val="28"/>
                <w:szCs w:val="28"/>
              </w:rPr>
            </w:pPr>
          </w:p>
        </w:tc>
        <w:tc>
          <w:tcPr>
            <w:tcW w:w="1701" w:type="dxa"/>
            <w:vAlign w:val="center"/>
          </w:tcPr>
          <w:p w14:paraId="57C6CE67">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工作稳定</w:t>
            </w:r>
          </w:p>
        </w:tc>
        <w:tc>
          <w:tcPr>
            <w:tcW w:w="5921" w:type="dxa"/>
            <w:vAlign w:val="center"/>
          </w:tcPr>
          <w:p w14:paraId="1311A8DB">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建立晋升机制，提供有竞争力的薪酬福利。</w:t>
            </w:r>
          </w:p>
        </w:tc>
      </w:tr>
      <w:tr w14:paraId="1C0B1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612" w:type="dxa"/>
            <w:vMerge w:val="restart"/>
            <w:vAlign w:val="center"/>
          </w:tcPr>
          <w:p w14:paraId="312A8509">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行政、技术、销售等职能员工</w:t>
            </w:r>
          </w:p>
        </w:tc>
        <w:tc>
          <w:tcPr>
            <w:tcW w:w="1701" w:type="dxa"/>
            <w:vAlign w:val="center"/>
          </w:tcPr>
          <w:p w14:paraId="478B3A79">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工作回报</w:t>
            </w:r>
          </w:p>
        </w:tc>
        <w:tc>
          <w:tcPr>
            <w:tcW w:w="5921" w:type="dxa"/>
            <w:vAlign w:val="center"/>
          </w:tcPr>
          <w:p w14:paraId="6337007A">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实行薪酬与绩效挂钩、专业技术职称评聘机制。</w:t>
            </w:r>
          </w:p>
        </w:tc>
      </w:tr>
      <w:tr w14:paraId="15A47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7" w:hRule="atLeast"/>
          <w:jc w:val="center"/>
        </w:trPr>
        <w:tc>
          <w:tcPr>
            <w:tcW w:w="1612" w:type="dxa"/>
            <w:vMerge w:val="continue"/>
            <w:vAlign w:val="center"/>
          </w:tcPr>
          <w:p w14:paraId="5C74DDC1">
            <w:pPr>
              <w:pageBreakBefore w:val="0"/>
              <w:kinsoku/>
              <w:overflowPunct/>
              <w:topLinePunct w:val="0"/>
              <w:bidi w:val="0"/>
              <w:snapToGrid w:val="0"/>
              <w:jc w:val="center"/>
              <w:rPr>
                <w:rFonts w:hint="eastAsia" w:ascii="仿宋" w:hAnsi="仿宋" w:eastAsia="仿宋" w:cs="仿宋"/>
                <w:sz w:val="28"/>
                <w:szCs w:val="28"/>
              </w:rPr>
            </w:pPr>
          </w:p>
        </w:tc>
        <w:tc>
          <w:tcPr>
            <w:tcW w:w="1701" w:type="dxa"/>
            <w:vAlign w:val="center"/>
          </w:tcPr>
          <w:p w14:paraId="75082835">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实现价值</w:t>
            </w:r>
          </w:p>
        </w:tc>
        <w:tc>
          <w:tcPr>
            <w:tcW w:w="5921" w:type="dxa"/>
            <w:vAlign w:val="center"/>
          </w:tcPr>
          <w:p w14:paraId="458C9F4C">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晋升机制、领导关心。</w:t>
            </w:r>
          </w:p>
        </w:tc>
      </w:tr>
      <w:tr w14:paraId="53E1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0" w:hRule="atLeast"/>
          <w:jc w:val="center"/>
        </w:trPr>
        <w:tc>
          <w:tcPr>
            <w:tcW w:w="1612" w:type="dxa"/>
            <w:vMerge w:val="continue"/>
            <w:vAlign w:val="center"/>
          </w:tcPr>
          <w:p w14:paraId="571107FC">
            <w:pPr>
              <w:pageBreakBefore w:val="0"/>
              <w:kinsoku/>
              <w:overflowPunct/>
              <w:topLinePunct w:val="0"/>
              <w:bidi w:val="0"/>
              <w:snapToGrid w:val="0"/>
              <w:jc w:val="center"/>
              <w:rPr>
                <w:rFonts w:hint="eastAsia" w:ascii="仿宋" w:hAnsi="仿宋" w:eastAsia="仿宋" w:cs="仿宋"/>
                <w:sz w:val="28"/>
                <w:szCs w:val="28"/>
              </w:rPr>
            </w:pPr>
          </w:p>
        </w:tc>
        <w:tc>
          <w:tcPr>
            <w:tcW w:w="1701" w:type="dxa"/>
            <w:vAlign w:val="center"/>
          </w:tcPr>
          <w:p w14:paraId="499E7A4C">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学习成才</w:t>
            </w:r>
          </w:p>
        </w:tc>
        <w:tc>
          <w:tcPr>
            <w:tcW w:w="5921" w:type="dxa"/>
            <w:vAlign w:val="center"/>
          </w:tcPr>
          <w:p w14:paraId="4C105A5C">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提供各类内外部培训与学习机会。</w:t>
            </w:r>
          </w:p>
        </w:tc>
      </w:tr>
      <w:tr w14:paraId="69606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1612" w:type="dxa"/>
            <w:vMerge w:val="restart"/>
            <w:vAlign w:val="center"/>
          </w:tcPr>
          <w:p w14:paraId="33E6FDEE">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中层干部</w:t>
            </w:r>
          </w:p>
          <w:p w14:paraId="444D9051">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技术干部</w:t>
            </w:r>
          </w:p>
        </w:tc>
        <w:tc>
          <w:tcPr>
            <w:tcW w:w="1701" w:type="dxa"/>
            <w:vAlign w:val="center"/>
          </w:tcPr>
          <w:p w14:paraId="74A6CAF9">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实现价值</w:t>
            </w:r>
          </w:p>
        </w:tc>
        <w:tc>
          <w:tcPr>
            <w:tcW w:w="5921" w:type="dxa"/>
            <w:vAlign w:val="center"/>
          </w:tcPr>
          <w:p w14:paraId="5EDF4310">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竞争上岗、专业技术职称评聘机制、工作充分授权。</w:t>
            </w:r>
          </w:p>
        </w:tc>
      </w:tr>
      <w:tr w14:paraId="09CE7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612" w:type="dxa"/>
            <w:vMerge w:val="continue"/>
            <w:vAlign w:val="center"/>
          </w:tcPr>
          <w:p w14:paraId="73067374">
            <w:pPr>
              <w:pageBreakBefore w:val="0"/>
              <w:kinsoku/>
              <w:overflowPunct/>
              <w:topLinePunct w:val="0"/>
              <w:bidi w:val="0"/>
              <w:snapToGrid w:val="0"/>
              <w:jc w:val="center"/>
              <w:rPr>
                <w:rFonts w:hint="eastAsia" w:ascii="仿宋" w:hAnsi="仿宋" w:eastAsia="仿宋" w:cs="仿宋"/>
                <w:sz w:val="28"/>
                <w:szCs w:val="28"/>
              </w:rPr>
            </w:pPr>
          </w:p>
        </w:tc>
        <w:tc>
          <w:tcPr>
            <w:tcW w:w="1701" w:type="dxa"/>
            <w:vAlign w:val="center"/>
          </w:tcPr>
          <w:p w14:paraId="2D7E4BF1">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学习成才</w:t>
            </w:r>
          </w:p>
        </w:tc>
        <w:tc>
          <w:tcPr>
            <w:tcW w:w="5921" w:type="dxa"/>
            <w:vAlign w:val="center"/>
          </w:tcPr>
          <w:p w14:paraId="172F1658">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工商管理课程、管理能力提升培训。</w:t>
            </w:r>
          </w:p>
        </w:tc>
      </w:tr>
      <w:tr w14:paraId="6EEAC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1612" w:type="dxa"/>
            <w:vMerge w:val="restart"/>
            <w:vAlign w:val="center"/>
          </w:tcPr>
          <w:p w14:paraId="3EBB1348">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高层领导</w:t>
            </w:r>
          </w:p>
        </w:tc>
        <w:tc>
          <w:tcPr>
            <w:tcW w:w="1701" w:type="dxa"/>
            <w:vAlign w:val="center"/>
          </w:tcPr>
          <w:p w14:paraId="2B26F780">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事业成功</w:t>
            </w:r>
          </w:p>
        </w:tc>
        <w:tc>
          <w:tcPr>
            <w:tcW w:w="5921" w:type="dxa"/>
            <w:vAlign w:val="center"/>
          </w:tcPr>
          <w:p w14:paraId="7D655730">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充分沟通、加强交流、营造合作氛围。</w:t>
            </w:r>
          </w:p>
        </w:tc>
      </w:tr>
      <w:tr w14:paraId="6A64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1612" w:type="dxa"/>
            <w:vMerge w:val="continue"/>
            <w:vAlign w:val="center"/>
          </w:tcPr>
          <w:p w14:paraId="7D9B3C64">
            <w:pPr>
              <w:pageBreakBefore w:val="0"/>
              <w:kinsoku/>
              <w:overflowPunct/>
              <w:topLinePunct w:val="0"/>
              <w:bidi w:val="0"/>
              <w:snapToGrid w:val="0"/>
              <w:jc w:val="center"/>
              <w:rPr>
                <w:rFonts w:hint="eastAsia" w:ascii="仿宋" w:hAnsi="仿宋" w:eastAsia="仿宋" w:cs="仿宋"/>
                <w:sz w:val="28"/>
                <w:szCs w:val="28"/>
              </w:rPr>
            </w:pPr>
          </w:p>
        </w:tc>
        <w:tc>
          <w:tcPr>
            <w:tcW w:w="1701" w:type="dxa"/>
            <w:vAlign w:val="center"/>
          </w:tcPr>
          <w:p w14:paraId="3903FB18">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公司发展</w:t>
            </w:r>
          </w:p>
        </w:tc>
        <w:tc>
          <w:tcPr>
            <w:tcW w:w="5921" w:type="dxa"/>
            <w:vAlign w:val="center"/>
          </w:tcPr>
          <w:p w14:paraId="502FFCC8">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品牌宣传、企业形象地位的提升。</w:t>
            </w:r>
          </w:p>
        </w:tc>
      </w:tr>
      <w:tr w14:paraId="64C3D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 w:hRule="atLeast"/>
          <w:jc w:val="center"/>
        </w:trPr>
        <w:tc>
          <w:tcPr>
            <w:tcW w:w="1612" w:type="dxa"/>
            <w:vAlign w:val="center"/>
          </w:tcPr>
          <w:p w14:paraId="694DC45D">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所有员工</w:t>
            </w:r>
          </w:p>
        </w:tc>
        <w:tc>
          <w:tcPr>
            <w:tcW w:w="1701" w:type="dxa"/>
            <w:vAlign w:val="center"/>
          </w:tcPr>
          <w:p w14:paraId="7BDB0694">
            <w:pPr>
              <w:pageBreakBefore w:val="0"/>
              <w:kinsoku/>
              <w:overflowPunct/>
              <w:topLinePunct w:val="0"/>
              <w:bidi w:val="0"/>
              <w:snapToGrid w:val="0"/>
              <w:jc w:val="center"/>
              <w:rPr>
                <w:rFonts w:hint="eastAsia" w:ascii="仿宋" w:hAnsi="仿宋" w:eastAsia="仿宋" w:cs="仿宋"/>
                <w:sz w:val="28"/>
                <w:szCs w:val="28"/>
              </w:rPr>
            </w:pPr>
            <w:r>
              <w:rPr>
                <w:rFonts w:hint="eastAsia" w:ascii="仿宋" w:hAnsi="仿宋" w:eastAsia="仿宋" w:cs="仿宋"/>
                <w:sz w:val="28"/>
                <w:szCs w:val="28"/>
              </w:rPr>
              <w:t>情感需要、生活休闲、助急助困等</w:t>
            </w:r>
          </w:p>
        </w:tc>
        <w:tc>
          <w:tcPr>
            <w:tcW w:w="5921" w:type="dxa"/>
            <w:vAlign w:val="center"/>
          </w:tcPr>
          <w:p w14:paraId="6384CA73">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b/>
                <w:bCs/>
                <w:sz w:val="28"/>
                <w:szCs w:val="28"/>
              </w:rPr>
              <w:t>员工基金</w:t>
            </w:r>
            <w:r>
              <w:rPr>
                <w:rFonts w:hint="eastAsia" w:ascii="仿宋" w:hAnsi="仿宋" w:eastAsia="仿宋" w:cs="仿宋"/>
                <w:sz w:val="28"/>
                <w:szCs w:val="28"/>
              </w:rPr>
              <w:t>：建立员工爱心基金，解决员工家庭的“急难病困”；</w:t>
            </w:r>
          </w:p>
          <w:p w14:paraId="0886FA99">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b/>
                <w:bCs/>
                <w:sz w:val="28"/>
                <w:szCs w:val="28"/>
              </w:rPr>
              <w:t>文化活动</w:t>
            </w:r>
            <w:r>
              <w:rPr>
                <w:rFonts w:hint="eastAsia" w:ascii="仿宋" w:hAnsi="仿宋" w:eastAsia="仿宋" w:cs="仿宋"/>
                <w:sz w:val="28"/>
                <w:szCs w:val="28"/>
              </w:rPr>
              <w:t>：提供多种文体设施，举办各项文体活动、团建活动、免费旅游等；</w:t>
            </w:r>
          </w:p>
          <w:p w14:paraId="6F26F182">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b/>
                <w:bCs/>
                <w:sz w:val="28"/>
                <w:szCs w:val="28"/>
              </w:rPr>
              <w:t>各类补贴</w:t>
            </w:r>
            <w:r>
              <w:rPr>
                <w:rFonts w:hint="eastAsia" w:ascii="仿宋" w:hAnsi="仿宋" w:eastAsia="仿宋" w:cs="仿宋"/>
                <w:sz w:val="28"/>
                <w:szCs w:val="28"/>
              </w:rPr>
              <w:t>：员工交通补贴、通讯补贴、购房补贴、免费住宿与餐食、生日礼品等；</w:t>
            </w:r>
          </w:p>
          <w:p w14:paraId="570B1E8E">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b/>
                <w:bCs/>
                <w:sz w:val="28"/>
                <w:szCs w:val="28"/>
              </w:rPr>
              <w:t>节日福利</w:t>
            </w:r>
            <w:r>
              <w:rPr>
                <w:rFonts w:hint="eastAsia" w:ascii="仿宋" w:hAnsi="仿宋" w:eastAsia="仿宋" w:cs="仿宋"/>
                <w:sz w:val="28"/>
                <w:szCs w:val="28"/>
              </w:rPr>
              <w:t>：新年开工红包，端午节、中秋节等节假日福利、女员工“3.8女神节”活动、员工子女“6·1儿童节”福利等；</w:t>
            </w:r>
          </w:p>
          <w:p w14:paraId="7E077AF1">
            <w:pPr>
              <w:pageBreakBefore w:val="0"/>
              <w:kinsoku/>
              <w:overflowPunct/>
              <w:topLinePunct w:val="0"/>
              <w:bidi w:val="0"/>
              <w:snapToGrid w:val="0"/>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b/>
                <w:bCs/>
                <w:sz w:val="28"/>
                <w:szCs w:val="28"/>
              </w:rPr>
              <w:t>专项措施</w:t>
            </w:r>
            <w:r>
              <w:rPr>
                <w:rFonts w:hint="eastAsia" w:ascii="仿宋" w:hAnsi="仿宋" w:eastAsia="仿宋" w:cs="仿宋"/>
                <w:sz w:val="28"/>
                <w:szCs w:val="28"/>
              </w:rPr>
              <w:t>：组织单身员工参与企业联谊活动、疫情留甬过年员工福利、根据司龄发放入职周年纪念品等。</w:t>
            </w:r>
          </w:p>
        </w:tc>
      </w:tr>
      <w:bookmarkEnd w:id="5"/>
    </w:tbl>
    <w:p w14:paraId="02F97DFA">
      <w:pPr>
        <w:pStyle w:val="14"/>
        <w:keepNext w:val="0"/>
        <w:keepLines w:val="0"/>
        <w:pageBreakBefore w:val="0"/>
        <w:widowControl w:val="0"/>
        <w:tabs>
          <w:tab w:val="left" w:pos="420"/>
        </w:tabs>
        <w:kinsoku/>
        <w:wordWrap/>
        <w:overflowPunct/>
        <w:topLinePunct w:val="0"/>
        <w:autoSpaceDE/>
        <w:autoSpaceDN/>
        <w:bidi w:val="0"/>
        <w:adjustRightInd/>
        <w:snapToGrid w:val="0"/>
        <w:spacing w:before="0" w:beforeAutospacing="0" w:after="0" w:afterAutospacing="0" w:line="600" w:lineRule="exact"/>
        <w:ind w:firstLine="0" w:firstLineChars="0"/>
        <w:rPr>
          <w:rFonts w:hint="eastAsia" w:ascii="仿宋" w:hAnsi="仿宋" w:eastAsia="仿宋" w:cs="仿宋"/>
          <w:b/>
          <w:bCs/>
          <w:color w:val="FF0000"/>
          <w:sz w:val="28"/>
          <w:szCs w:val="28"/>
          <w:highlight w:val="yellow"/>
        </w:rPr>
      </w:pPr>
      <w:r>
        <w:rPr>
          <w:rFonts w:hint="eastAsia" w:ascii="仿宋" w:hAnsi="仿宋" w:eastAsia="仿宋" w:cs="仿宋"/>
          <w:b/>
          <w:bCs/>
          <w:sz w:val="28"/>
          <w:szCs w:val="28"/>
          <w:lang w:eastAsia="zh-CN"/>
        </w:rPr>
        <w:t>（</w:t>
      </w:r>
      <w:r>
        <w:rPr>
          <w:rFonts w:hint="eastAsia" w:ascii="仿宋" w:hAnsi="仿宋" w:eastAsia="仿宋" w:cs="仿宋"/>
          <w:b/>
          <w:bCs/>
          <w:sz w:val="28"/>
          <w:szCs w:val="28"/>
        </w:rPr>
        <w:t>1）文化活动</w:t>
      </w:r>
    </w:p>
    <w:p w14:paraId="76E2F3DC">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rPr>
        <w:t>公司从打造三文化体系中的“家庭文化”出发，倡导与员工共生共赢，形成像家庭一样和谐融洽、相互关爱、坦诚以待的企业文化，提升员工的凝聚力和企业认同感。每年，公司都会组织不同主题和形式的全体文化活动，并邀请员工家属共同参与，如近年来的东旦沙滩烧烤活动、“同心”趣味运动会、全体厦门旅游等，通过丰富的文化活动，支持员工工作、生活、家庭全面发展的同时，加强员工及其家属对公司企业文化的认知。</w:t>
      </w:r>
    </w:p>
    <w:p w14:paraId="4F265B94">
      <w:pPr>
        <w:keepNext w:val="0"/>
        <w:keepLines w:val="0"/>
        <w:pageBreakBefore w:val="0"/>
        <w:widowControl w:val="0"/>
        <w:kinsoku/>
        <w:wordWrap/>
        <w:overflowPunct/>
        <w:topLinePunct w:val="0"/>
        <w:autoSpaceDE/>
        <w:autoSpaceDN/>
        <w:bidi w:val="0"/>
        <w:adjustRightInd/>
        <w:snapToGrid w:val="0"/>
        <w:spacing w:line="600" w:lineRule="exact"/>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rPr>
        <w:t>2）员工爱心基金</w:t>
      </w:r>
    </w:p>
    <w:p w14:paraId="3F1251E2">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2019年7月，公司提出“公司出一点，员工捐一点，社会筹一点”的倡议，成立员工“爱心互助基金”，制定《爱心互助基金管理办法》，对在职员工因特殊原因导致自己或家庭发生重大困难或遭遇不可抗力的天灾人祸进行困难帮扶和应急救助。爱心基金成立以来，员工和企业共缴基金786820元，累计发放爱心补助467444元，帮助员工及员工家庭成员235人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其中2024年缴纳爱心基金163160元，发放爱心补助122640元，帮助人数57人。</w:t>
      </w:r>
      <w:r>
        <w:rPr>
          <w:rFonts w:hint="eastAsia" w:ascii="仿宋" w:hAnsi="仿宋" w:eastAsia="仿宋" w:cs="仿宋"/>
          <w:sz w:val="28"/>
          <w:szCs w:val="28"/>
        </w:rPr>
        <w:t>使员工家庭的“急难病困”得到及时帮助，形成真诚待人、善举帮人的良好氛围，获得了象山县慈善总会的高度肯定并向全县推广。</w:t>
      </w:r>
    </w:p>
    <w:p w14:paraId="4ABFC34D">
      <w:pPr>
        <w:keepNext w:val="0"/>
        <w:keepLines w:val="0"/>
        <w:pageBreakBefore w:val="0"/>
        <w:widowControl w:val="0"/>
        <w:kinsoku/>
        <w:wordWrap/>
        <w:overflowPunct/>
        <w:topLinePunct w:val="0"/>
        <w:autoSpaceDE/>
        <w:autoSpaceDN/>
        <w:bidi w:val="0"/>
        <w:adjustRightInd/>
        <w:snapToGrid w:val="0"/>
        <w:spacing w:line="600" w:lineRule="exact"/>
        <w:jc w:val="left"/>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rPr>
        <w:t>3）各类福利与活动</w:t>
      </w:r>
    </w:p>
    <w:p w14:paraId="651C1033">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公司注重员工的日常生活保障和情感需求，从物质和精神上给予员工全面的支持，如公司</w:t>
      </w:r>
      <w:r>
        <w:rPr>
          <w:rFonts w:hint="eastAsia" w:ascii="仿宋" w:hAnsi="仿宋" w:eastAsia="仿宋" w:cs="仿宋"/>
          <w:sz w:val="28"/>
          <w:szCs w:val="28"/>
          <w:lang w:val="en-US" w:eastAsia="zh-CN"/>
        </w:rPr>
        <w:t>酱油</w:t>
      </w:r>
      <w:r>
        <w:rPr>
          <w:rFonts w:hint="eastAsia" w:ascii="仿宋" w:hAnsi="仿宋" w:eastAsia="仿宋" w:cs="仿宋"/>
          <w:sz w:val="28"/>
          <w:szCs w:val="28"/>
        </w:rPr>
        <w:t>员工宿舍大楼，内有员工房、夫妻房、管理人员房等多种房型，可容纳员工100余人，建成后向全体员工免费提供；如在传统节日，公司均会准备相关节日福利或活动，增添节日氛围；如组织单身员工参加企业联谊，组织留甬过年员工聚会等，公司通过各类福利与活动，不断改善和丰富员工的生活，提升员工的幸福感和归属感，让员工安居乐业。</w:t>
      </w:r>
    </w:p>
    <w:p w14:paraId="1C342E65">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ascii="仿宋" w:hAnsi="仿宋" w:eastAsia="仿宋" w:cs="仿宋"/>
          <w:b/>
          <w:bCs/>
          <w:sz w:val="28"/>
          <w:szCs w:val="28"/>
        </w:rPr>
      </w:pPr>
      <w:r>
        <w:rPr>
          <w:rFonts w:hint="eastAsia" w:ascii="仿宋" w:hAnsi="仿宋" w:eastAsia="仿宋" w:cs="仿宋"/>
          <w:b/>
          <w:bCs/>
          <w:sz w:val="28"/>
          <w:szCs w:val="28"/>
        </w:rPr>
        <w:t>4、鼓励员工积极参与多种形式的管理和改进活动</w:t>
      </w:r>
    </w:p>
    <w:p w14:paraId="67EE34A4">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公司营造员工积极参与群众性质量管理活动的机制，开展QC小组、合理化建议、6S活动，为员工的质量管理活动提供平台</w:t>
      </w:r>
      <w:r>
        <w:rPr>
          <w:rFonts w:hint="eastAsia" w:ascii="仿宋" w:hAnsi="仿宋" w:eastAsia="仿宋" w:cs="仿宋"/>
          <w:kern w:val="0"/>
          <w:sz w:val="28"/>
          <w:szCs w:val="28"/>
        </w:rPr>
        <w:t>，</w:t>
      </w:r>
      <w:r>
        <w:rPr>
          <w:rFonts w:hint="eastAsia" w:ascii="仿宋" w:hAnsi="仿宋" w:eastAsia="仿宋" w:cs="仿宋"/>
          <w:sz w:val="28"/>
          <w:szCs w:val="28"/>
        </w:rPr>
        <w:t>提供活动所需的资源支持，并通过对活动成果评定、认可和激励，调动员工参与质量管理活动的积极性。</w:t>
      </w:r>
    </w:p>
    <w:p w14:paraId="415F5E8D">
      <w:pPr>
        <w:pStyle w:val="14"/>
        <w:keepNext w:val="0"/>
        <w:keepLines w:val="0"/>
        <w:pageBreakBefore w:val="0"/>
        <w:widowControl w:val="0"/>
        <w:numPr>
          <w:ilvl w:val="0"/>
          <w:numId w:val="0"/>
        </w:numPr>
        <w:kinsoku/>
        <w:wordWrap/>
        <w:overflowPunct/>
        <w:topLinePunct w:val="0"/>
        <w:autoSpaceDE/>
        <w:autoSpaceDN/>
        <w:bidi w:val="0"/>
        <w:snapToGrid w:val="0"/>
        <w:spacing w:before="0" w:beforeAutospacing="0" w:after="0" w:afterAutospacing="0" w:line="600" w:lineRule="exact"/>
        <w:ind w:leftChars="0" w:right="0" w:rightChars="0"/>
        <w:textAlignment w:val="auto"/>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5、深入了解员工需求，开展员工满意度测评和改进</w:t>
      </w:r>
    </w:p>
    <w:p w14:paraId="7E2CB1A5">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仿宋" w:hAnsi="仿宋" w:eastAsia="仿宋" w:cs="仿宋"/>
          <w:b/>
          <w:sz w:val="28"/>
          <w:szCs w:val="28"/>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1）</w:t>
      </w:r>
      <w:r>
        <w:rPr>
          <w:rFonts w:hint="eastAsia" w:ascii="仿宋" w:hAnsi="仿宋" w:eastAsia="仿宋" w:cs="仿宋"/>
          <w:b/>
          <w:sz w:val="28"/>
          <w:szCs w:val="28"/>
        </w:rPr>
        <w:t>确定影响员工权益、满意度和积极性的关键因素</w:t>
      </w:r>
    </w:p>
    <w:p w14:paraId="71D3263C">
      <w:pPr>
        <w:pStyle w:val="2"/>
        <w:keepNext w:val="0"/>
        <w:keepLines w:val="0"/>
        <w:pageBreakBefore w:val="0"/>
        <w:widowControl w:val="0"/>
        <w:kinsoku/>
        <w:wordWrap/>
        <w:overflowPunct/>
        <w:topLinePunct w:val="0"/>
        <w:autoSpaceDE/>
        <w:autoSpaceDN/>
        <w:bidi w:val="0"/>
        <w:snapToGrid w:val="0"/>
        <w:spacing w:after="0" w:line="600" w:lineRule="exact"/>
        <w:ind w:firstLine="548" w:firstLineChars="196"/>
        <w:jc w:val="left"/>
        <w:textAlignment w:val="auto"/>
        <w:rPr>
          <w:rFonts w:hint="eastAsia" w:ascii="仿宋" w:hAnsi="仿宋" w:eastAsia="仿宋" w:cs="仿宋"/>
          <w:sz w:val="28"/>
          <w:szCs w:val="28"/>
        </w:rPr>
      </w:pPr>
      <w:r>
        <w:rPr>
          <w:rFonts w:hint="eastAsia" w:ascii="仿宋" w:hAnsi="仿宋" w:eastAsia="仿宋" w:cs="仿宋"/>
          <w:sz w:val="28"/>
          <w:szCs w:val="28"/>
        </w:rPr>
        <w:t>公司高层领导始终坚持“以人为本”的管理理念，通过半年度、年度述职报告，绩效面谈和满意度调查的渠道听取和采纳员工建议，并分析、评估、确定影响员工权益、满意度和积极性的影响因素。通过多样化的员工信息收集渠道，识别不同员工满意度的关键影响因素。</w:t>
      </w:r>
    </w:p>
    <w:p w14:paraId="3DF28B8E">
      <w:pPr>
        <w:keepNext w:val="0"/>
        <w:keepLines w:val="0"/>
        <w:pageBreakBefore w:val="0"/>
        <w:widowControl w:val="0"/>
        <w:kinsoku/>
        <w:wordWrap/>
        <w:overflowPunct/>
        <w:topLinePunct w:val="0"/>
        <w:autoSpaceDE/>
        <w:autoSpaceDN/>
        <w:bidi w:val="0"/>
        <w:snapToGrid w:val="0"/>
        <w:spacing w:line="600" w:lineRule="exact"/>
        <w:textAlignment w:val="auto"/>
        <w:rPr>
          <w:rFonts w:hint="eastAsia" w:ascii="仿宋" w:hAnsi="仿宋" w:eastAsia="仿宋" w:cs="仿宋"/>
          <w:sz w:val="28"/>
          <w:szCs w:val="28"/>
        </w:rPr>
      </w:pPr>
      <w:r>
        <w:rPr>
          <w:rFonts w:hint="eastAsia" w:ascii="仿宋" w:hAnsi="仿宋" w:eastAsia="仿宋" w:cs="仿宋"/>
          <w:b/>
          <w:bCs/>
          <w:kern w:val="0"/>
          <w:sz w:val="28"/>
          <w:szCs w:val="28"/>
          <w:lang w:eastAsia="zh-CN"/>
        </w:rPr>
        <w:t>（</w:t>
      </w:r>
      <w:r>
        <w:rPr>
          <w:rFonts w:hint="eastAsia" w:ascii="仿宋" w:hAnsi="仿宋" w:eastAsia="仿宋" w:cs="仿宋"/>
          <w:b/>
          <w:bCs/>
          <w:kern w:val="0"/>
          <w:sz w:val="28"/>
          <w:szCs w:val="28"/>
        </w:rPr>
        <w:t>2</w:t>
      </w:r>
      <w:r>
        <w:rPr>
          <w:rFonts w:hint="eastAsia" w:ascii="仿宋" w:hAnsi="仿宋" w:eastAsia="仿宋" w:cs="仿宋"/>
          <w:b/>
          <w:bCs/>
          <w:kern w:val="0"/>
          <w:sz w:val="28"/>
          <w:szCs w:val="28"/>
          <w:lang w:eastAsia="zh-CN"/>
        </w:rPr>
        <w:t>）</w:t>
      </w:r>
      <w:r>
        <w:rPr>
          <w:rFonts w:hint="eastAsia" w:ascii="仿宋" w:hAnsi="仿宋" w:eastAsia="仿宋" w:cs="仿宋"/>
          <w:b/>
          <w:bCs/>
          <w:kern w:val="0"/>
          <w:sz w:val="28"/>
          <w:szCs w:val="28"/>
        </w:rPr>
        <w:t>对员工满意指数进行测评，及时改进工作</w:t>
      </w:r>
    </w:p>
    <w:p w14:paraId="217D79DF">
      <w:pPr>
        <w:pStyle w:val="14"/>
        <w:keepNext w:val="0"/>
        <w:keepLines w:val="0"/>
        <w:pageBreakBefore w:val="0"/>
        <w:widowControl w:val="0"/>
        <w:kinsoku/>
        <w:wordWrap/>
        <w:overflowPunct/>
        <w:topLinePunct w:val="0"/>
        <w:autoSpaceDE/>
        <w:autoSpaceDN/>
        <w:bidi w:val="0"/>
        <w:snapToGrid w:val="0"/>
        <w:spacing w:before="0" w:beforeAutospacing="0" w:after="0" w:afterAutospacing="0" w:line="600" w:lineRule="exact"/>
        <w:ind w:firstLine="420"/>
        <w:textAlignment w:val="auto"/>
        <w:rPr>
          <w:rStyle w:val="19"/>
          <w:rFonts w:hint="eastAsia" w:ascii="仿宋" w:hAnsi="仿宋" w:eastAsia="仿宋" w:cs="仿宋"/>
          <w:b w:val="0"/>
          <w:sz w:val="28"/>
          <w:szCs w:val="28"/>
        </w:rPr>
      </w:pPr>
      <w:r>
        <w:rPr>
          <w:rFonts w:hint="eastAsia" w:ascii="仿宋" w:hAnsi="仿宋" w:eastAsia="仿宋" w:cs="仿宋"/>
          <w:sz w:val="28"/>
          <w:szCs w:val="28"/>
        </w:rPr>
        <w:t>公司坚持每年都通过访谈调查和问卷调查对员工满意度进行调查，主要调查指标分为自身工作方面、内部沟通与管理方面、公司资源环境方面、工作回报和发展方面4个部分共35个问题以及合理化建议</w:t>
      </w:r>
      <w:r>
        <w:rPr>
          <w:rStyle w:val="19"/>
          <w:rFonts w:hint="eastAsia" w:ascii="仿宋" w:hAnsi="仿宋" w:eastAsia="仿宋" w:cs="仿宋"/>
          <w:b w:val="0"/>
          <w:sz w:val="28"/>
          <w:szCs w:val="28"/>
        </w:rPr>
        <w:t>。满意度的调查流程如下：</w:t>
      </w:r>
    </w:p>
    <w:p w14:paraId="4CB93E9A">
      <w:pPr>
        <w:pStyle w:val="14"/>
        <w:keepNext w:val="0"/>
        <w:keepLines w:val="0"/>
        <w:pageBreakBefore w:val="0"/>
        <w:widowControl w:val="0"/>
        <w:tabs>
          <w:tab w:val="left" w:pos="420"/>
        </w:tabs>
        <w:kinsoku/>
        <w:wordWrap/>
        <w:overflowPunct/>
        <w:topLinePunct w:val="0"/>
        <w:autoSpaceDE/>
        <w:autoSpaceDN/>
        <w:bidi w:val="0"/>
        <w:snapToGrid w:val="0"/>
        <w:spacing w:before="0" w:beforeAutospacing="0" w:after="0" w:afterAutospacing="0" w:line="600" w:lineRule="exact"/>
        <w:ind w:firstLine="420"/>
        <w:textAlignment w:val="auto"/>
        <w:rPr>
          <w:rStyle w:val="19"/>
          <w:rFonts w:hint="eastAsia" w:ascii="仿宋" w:hAnsi="仿宋" w:eastAsia="仿宋" w:cs="仿宋"/>
          <w:b w:val="0"/>
          <w:sz w:val="28"/>
          <w:szCs w:val="28"/>
        </w:rPr>
      </w:pPr>
      <w:r>
        <w:rPr>
          <w:rStyle w:val="19"/>
          <w:rFonts w:hint="eastAsia" w:ascii="仿宋" w:hAnsi="仿宋" w:eastAsia="仿宋" w:cs="仿宋"/>
          <w:b w:val="0"/>
          <w:sz w:val="28"/>
          <w:szCs w:val="28"/>
        </w:rPr>
        <w:t>1) 根据上一年度的满意度调查结果及实际情况确定是否修订满意度调查问卷；</w:t>
      </w:r>
    </w:p>
    <w:p w14:paraId="5F218CAA">
      <w:pPr>
        <w:pStyle w:val="14"/>
        <w:keepNext w:val="0"/>
        <w:keepLines w:val="0"/>
        <w:pageBreakBefore w:val="0"/>
        <w:widowControl w:val="0"/>
        <w:tabs>
          <w:tab w:val="left" w:pos="420"/>
        </w:tabs>
        <w:kinsoku/>
        <w:wordWrap/>
        <w:overflowPunct/>
        <w:topLinePunct w:val="0"/>
        <w:autoSpaceDE/>
        <w:autoSpaceDN/>
        <w:bidi w:val="0"/>
        <w:snapToGrid w:val="0"/>
        <w:spacing w:before="0" w:beforeAutospacing="0" w:after="0" w:afterAutospacing="0" w:line="600" w:lineRule="exact"/>
        <w:ind w:firstLine="420"/>
        <w:textAlignment w:val="auto"/>
        <w:rPr>
          <w:rStyle w:val="19"/>
          <w:rFonts w:hint="eastAsia" w:ascii="仿宋" w:hAnsi="仿宋" w:eastAsia="仿宋" w:cs="仿宋"/>
          <w:b w:val="0"/>
          <w:sz w:val="28"/>
          <w:szCs w:val="28"/>
        </w:rPr>
      </w:pPr>
      <w:r>
        <w:rPr>
          <w:rStyle w:val="19"/>
          <w:rFonts w:hint="eastAsia" w:ascii="仿宋" w:hAnsi="仿宋" w:eastAsia="仿宋" w:cs="仿宋"/>
          <w:b w:val="0"/>
          <w:sz w:val="28"/>
          <w:szCs w:val="28"/>
        </w:rPr>
        <w:t>2) 发放问卷，以分层按比例随机抽样调查，按照性别、部门、层次以及年龄进行分类；</w:t>
      </w:r>
    </w:p>
    <w:p w14:paraId="45B02333">
      <w:pPr>
        <w:pStyle w:val="14"/>
        <w:keepNext w:val="0"/>
        <w:keepLines w:val="0"/>
        <w:pageBreakBefore w:val="0"/>
        <w:widowControl w:val="0"/>
        <w:tabs>
          <w:tab w:val="left" w:pos="420"/>
        </w:tabs>
        <w:kinsoku/>
        <w:wordWrap/>
        <w:overflowPunct/>
        <w:topLinePunct w:val="0"/>
        <w:autoSpaceDE/>
        <w:autoSpaceDN/>
        <w:bidi w:val="0"/>
        <w:snapToGrid w:val="0"/>
        <w:spacing w:before="0" w:beforeAutospacing="0" w:after="0" w:afterAutospacing="0" w:line="600" w:lineRule="exact"/>
        <w:ind w:firstLine="420"/>
        <w:textAlignment w:val="auto"/>
        <w:rPr>
          <w:rStyle w:val="19"/>
          <w:rFonts w:hint="eastAsia" w:ascii="仿宋" w:hAnsi="仿宋" w:eastAsia="仿宋" w:cs="仿宋"/>
          <w:b w:val="0"/>
          <w:sz w:val="28"/>
          <w:szCs w:val="28"/>
        </w:rPr>
      </w:pPr>
      <w:r>
        <w:rPr>
          <w:rStyle w:val="19"/>
          <w:rFonts w:hint="eastAsia" w:ascii="仿宋" w:hAnsi="仿宋" w:eastAsia="仿宋" w:cs="仿宋"/>
          <w:b w:val="0"/>
          <w:sz w:val="28"/>
          <w:szCs w:val="28"/>
        </w:rPr>
        <w:t>3) 问卷回收，并采用均值法进行统计分析；</w:t>
      </w:r>
    </w:p>
    <w:p w14:paraId="1DD779DB">
      <w:pPr>
        <w:pStyle w:val="14"/>
        <w:keepNext w:val="0"/>
        <w:keepLines w:val="0"/>
        <w:pageBreakBefore w:val="0"/>
        <w:widowControl w:val="0"/>
        <w:tabs>
          <w:tab w:val="left" w:pos="420"/>
        </w:tabs>
        <w:kinsoku/>
        <w:wordWrap/>
        <w:overflowPunct/>
        <w:topLinePunct w:val="0"/>
        <w:autoSpaceDE/>
        <w:autoSpaceDN/>
        <w:bidi w:val="0"/>
        <w:snapToGrid w:val="0"/>
        <w:spacing w:before="0" w:beforeAutospacing="0" w:after="0" w:afterAutospacing="0" w:line="600" w:lineRule="exact"/>
        <w:ind w:firstLine="420"/>
        <w:textAlignment w:val="auto"/>
        <w:rPr>
          <w:rStyle w:val="19"/>
          <w:rFonts w:hint="eastAsia" w:ascii="仿宋" w:hAnsi="仿宋" w:eastAsia="仿宋" w:cs="仿宋"/>
          <w:b w:val="0"/>
          <w:sz w:val="28"/>
          <w:szCs w:val="28"/>
        </w:rPr>
      </w:pPr>
      <w:r>
        <w:rPr>
          <w:rStyle w:val="19"/>
          <w:rFonts w:hint="eastAsia" w:ascii="仿宋" w:hAnsi="仿宋" w:eastAsia="仿宋" w:cs="仿宋"/>
          <w:b w:val="0"/>
          <w:sz w:val="28"/>
          <w:szCs w:val="28"/>
        </w:rPr>
        <w:t>4) 对改进建议进行可行性分类，目前可以给予改进的进行改进，不可以的需要向员工解释，并制定改进计划和实施时间；</w:t>
      </w:r>
    </w:p>
    <w:p w14:paraId="0C42D187">
      <w:pPr>
        <w:pStyle w:val="14"/>
        <w:keepNext w:val="0"/>
        <w:keepLines w:val="0"/>
        <w:pageBreakBefore w:val="0"/>
        <w:widowControl w:val="0"/>
        <w:tabs>
          <w:tab w:val="left" w:pos="420"/>
        </w:tabs>
        <w:kinsoku/>
        <w:wordWrap/>
        <w:overflowPunct/>
        <w:topLinePunct w:val="0"/>
        <w:autoSpaceDE/>
        <w:autoSpaceDN/>
        <w:bidi w:val="0"/>
        <w:snapToGrid w:val="0"/>
        <w:spacing w:before="0" w:beforeAutospacing="0" w:after="0" w:afterAutospacing="0" w:line="600" w:lineRule="exact"/>
        <w:ind w:firstLine="420"/>
        <w:textAlignment w:val="auto"/>
        <w:rPr>
          <w:rStyle w:val="19"/>
          <w:rFonts w:hint="eastAsia" w:ascii="仿宋" w:hAnsi="仿宋" w:eastAsia="仿宋" w:cs="仿宋"/>
          <w:b w:val="0"/>
          <w:sz w:val="28"/>
          <w:szCs w:val="28"/>
        </w:rPr>
      </w:pPr>
      <w:r>
        <w:rPr>
          <w:rStyle w:val="19"/>
          <w:rFonts w:hint="eastAsia" w:ascii="仿宋" w:hAnsi="仿宋" w:eastAsia="仿宋" w:cs="仿宋"/>
          <w:b w:val="0"/>
          <w:sz w:val="28"/>
          <w:szCs w:val="28"/>
        </w:rPr>
        <w:t>5) 跟踪改进结果。</w:t>
      </w:r>
    </w:p>
    <w:p w14:paraId="77DE13DC">
      <w:pPr>
        <w:pStyle w:val="14"/>
        <w:keepNext w:val="0"/>
        <w:keepLines w:val="0"/>
        <w:pageBreakBefore w:val="0"/>
        <w:widowControl w:val="0"/>
        <w:tabs>
          <w:tab w:val="left" w:pos="420"/>
        </w:tabs>
        <w:kinsoku/>
        <w:wordWrap/>
        <w:overflowPunct/>
        <w:topLinePunct w:val="0"/>
        <w:autoSpaceDE/>
        <w:autoSpaceDN/>
        <w:bidi w:val="0"/>
        <w:snapToGrid w:val="0"/>
        <w:spacing w:before="0" w:beforeAutospacing="0" w:after="0" w:afterAutospacing="0" w:line="600" w:lineRule="exact"/>
        <w:ind w:firstLine="420"/>
        <w:textAlignment w:val="auto"/>
        <w:rPr>
          <w:rFonts w:hint="eastAsia" w:ascii="仿宋" w:hAnsi="仿宋" w:eastAsia="仿宋" w:cs="仿宋"/>
          <w:sz w:val="28"/>
          <w:szCs w:val="28"/>
        </w:rPr>
      </w:pPr>
      <w:r>
        <w:rPr>
          <w:rFonts w:hint="eastAsia" w:ascii="仿宋" w:hAnsi="仿宋" w:eastAsia="仿宋" w:cs="仿宋"/>
          <w:sz w:val="28"/>
          <w:szCs w:val="28"/>
        </w:rPr>
        <w:t>在202</w:t>
      </w:r>
      <w:r>
        <w:rPr>
          <w:rFonts w:hint="eastAsia" w:ascii="仿宋" w:hAnsi="仿宋" w:eastAsia="仿宋" w:cs="仿宋"/>
          <w:sz w:val="28"/>
          <w:szCs w:val="28"/>
          <w:lang w:val="en-US" w:eastAsia="zh-CN"/>
        </w:rPr>
        <w:t>4</w:t>
      </w:r>
      <w:r>
        <w:rPr>
          <w:rFonts w:hint="eastAsia" w:ascii="仿宋" w:hAnsi="仿宋" w:eastAsia="仿宋" w:cs="仿宋"/>
          <w:sz w:val="28"/>
          <w:szCs w:val="28"/>
        </w:rPr>
        <w:t>年的满意度调查中，公司共发放问卷145份，回收118份，总体满意度分数为77%。调查结果显示普通员工对目前的工作环境、工作时间的安排比较满意，体现出各部门之前的沟通和合作也比较融洽，员工对自己的工作职责非常明确，对公司各级领导也都充满希望，而且大部分员工都能得到部门领导的认可和好评，但是，也有一部分员工认为自己还没有完全发挥自己的才能或认为自己受到多重领导。</w:t>
      </w:r>
    </w:p>
    <w:p w14:paraId="747490F6">
      <w:pPr>
        <w:pStyle w:val="2"/>
        <w:keepNext w:val="0"/>
        <w:keepLines w:val="0"/>
        <w:pageBreakBefore w:val="0"/>
        <w:widowControl w:val="0"/>
        <w:numPr>
          <w:ilvl w:val="0"/>
          <w:numId w:val="10"/>
        </w:numPr>
        <w:kinsoku/>
        <w:wordWrap/>
        <w:overflowPunct/>
        <w:topLinePunct w:val="0"/>
        <w:autoSpaceDE/>
        <w:autoSpaceDN/>
        <w:bidi w:val="0"/>
        <w:spacing w:after="0" w:line="600" w:lineRule="exact"/>
        <w:ind w:left="0" w:leftChars="0" w:firstLine="0" w:firstLineChars="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加强安全生产</w:t>
      </w:r>
    </w:p>
    <w:p w14:paraId="02D5B6E3">
      <w:pPr>
        <w:pStyle w:val="2"/>
        <w:pageBreakBefore w:val="0"/>
        <w:numPr>
          <w:ilvl w:val="0"/>
          <w:numId w:val="0"/>
        </w:numPr>
        <w:kinsoku/>
        <w:overflowPunct/>
        <w:topLinePunct w:val="0"/>
        <w:bidi w:val="0"/>
        <w:spacing w:after="0" w:line="360" w:lineRule="auto"/>
        <w:ind w:leftChars="0" w:firstLine="560" w:firstLineChars="20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公司对安全生产保障工作有着深刻的认识，始终坚持“安全就是生产力”的理念，确保设备安全运行、生产安全运行、职工安全上下岗。2024年，公司继续坚持“安全第一、预防为主、综合管理”的工作原则，以落实安全生产责任制为核心，全面贯彻年初制定的安全生产目标管理方针，在政府有关部门的业务指导下，依靠各部门的积极参与和共同努力，全面开展对安全生产、消防安全、安全生产教育培训、特种作业监管、危险化学品监管、事故调查、安全检查等安全生产管理工作。</w:t>
      </w:r>
    </w:p>
    <w:p w14:paraId="70D190F1">
      <w:pPr>
        <w:pStyle w:val="2"/>
        <w:pageBreakBefore w:val="0"/>
        <w:numPr>
          <w:ilvl w:val="0"/>
          <w:numId w:val="12"/>
        </w:numPr>
        <w:kinsoku/>
        <w:overflowPunct/>
        <w:topLinePunct w:val="0"/>
        <w:bidi w:val="0"/>
        <w:spacing w:after="0" w:line="360" w:lineRule="auto"/>
        <w:ind w:leftChars="0"/>
        <w:jc w:val="both"/>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创建安全生产（劳动保护）环境</w:t>
      </w:r>
    </w:p>
    <w:p w14:paraId="4397CD26">
      <w:pPr>
        <w:pStyle w:val="2"/>
        <w:pageBreakBefore w:val="0"/>
        <w:numPr>
          <w:ilvl w:val="0"/>
          <w:numId w:val="0"/>
        </w:numPr>
        <w:kinsoku/>
        <w:overflowPunct/>
        <w:topLinePunct w:val="0"/>
        <w:bidi w:val="0"/>
        <w:spacing w:after="0" w:line="360" w:lineRule="auto"/>
        <w:ind w:firstLine="560" w:firstLineChars="20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公司严格执行《劳动法》、《安全生产法》和《职业病防治法》等相关法律法规，建立了ISO45001（职业健康）、ISO14001（环境管理）、安全生产标准化三级企业等管理体系，制定和完善了《安全生产管理责任书》、《机械设备防火承诺书》、《危险作业审批制度》、《消防管理规定》、《危险化学品、消防应急预案》、《工伤事故处理管理办法》、《安全生产管理办法》、《安全生产奖惩办法》等规章制度，不断提高员工安全意识，改善员工工作环境》。</w:t>
      </w:r>
    </w:p>
    <w:p w14:paraId="791D447B">
      <w:pPr>
        <w:pStyle w:val="2"/>
        <w:pageBreakBefore w:val="0"/>
        <w:numPr>
          <w:ilvl w:val="0"/>
          <w:numId w:val="0"/>
        </w:numPr>
        <w:kinsoku/>
        <w:overflowPunct/>
        <w:topLinePunct w:val="0"/>
        <w:bidi w:val="0"/>
        <w:spacing w:after="0" w:line="360" w:lineRule="auto"/>
        <w:ind w:leftChars="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组织开展对危险源、环境因素及关键场所的识别，明确测量方法和指标，采取一系列预防措施：改造、更新、完善设施，发放劳保用品，监督劳动保护，监测职业病危害因素和定期职业健康体检等。</w:t>
      </w:r>
    </w:p>
    <w:p w14:paraId="1E4E08E8">
      <w:pPr>
        <w:pStyle w:val="2"/>
        <w:pageBreakBefore w:val="0"/>
        <w:numPr>
          <w:ilvl w:val="0"/>
          <w:numId w:val="0"/>
        </w:numPr>
        <w:kinsoku/>
        <w:overflowPunct/>
        <w:topLinePunct w:val="0"/>
        <w:bidi w:val="0"/>
        <w:spacing w:after="0" w:line="360" w:lineRule="auto"/>
        <w:jc w:val="both"/>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2、落实安全生产责任制，制定应急预案</w:t>
      </w:r>
    </w:p>
    <w:p w14:paraId="754E6419">
      <w:pPr>
        <w:pStyle w:val="2"/>
        <w:pageBreakBefore w:val="0"/>
        <w:numPr>
          <w:ilvl w:val="0"/>
          <w:numId w:val="0"/>
        </w:numPr>
        <w:kinsoku/>
        <w:overflowPunct/>
        <w:topLinePunct w:val="0"/>
        <w:bidi w:val="0"/>
        <w:spacing w:after="0" w:line="360" w:lineRule="auto"/>
        <w:ind w:firstLine="560" w:firstLineChars="20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公司坚持“安全第一，预防为主，综合管理”方针，完善三级安全生产网络组织，逐级量化安全生产考核，全面提升安全生产技防水平，新技术和新设备得到广泛应用，事故率明细降低，确保全年无重特大安全事故，职业病发病率为零。</w:t>
      </w:r>
    </w:p>
    <w:p w14:paraId="6CF49184">
      <w:pPr>
        <w:pStyle w:val="2"/>
        <w:pageBreakBefore w:val="0"/>
        <w:numPr>
          <w:ilvl w:val="0"/>
          <w:numId w:val="0"/>
        </w:numPr>
        <w:kinsoku/>
        <w:overflowPunct/>
        <w:topLinePunct w:val="0"/>
        <w:bidi w:val="0"/>
        <w:spacing w:after="0" w:line="360" w:lineRule="auto"/>
        <w:ind w:leftChars="0"/>
        <w:jc w:val="both"/>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3、积极推进生产现场安全建设</w:t>
      </w:r>
    </w:p>
    <w:p w14:paraId="43EAAB53">
      <w:pPr>
        <w:pStyle w:val="2"/>
        <w:keepNext w:val="0"/>
        <w:keepLines w:val="0"/>
        <w:pageBreakBefore w:val="0"/>
        <w:numPr>
          <w:ilvl w:val="0"/>
          <w:numId w:val="0"/>
        </w:numPr>
        <w:kinsoku/>
        <w:wordWrap/>
        <w:overflowPunct/>
        <w:topLinePunct w:val="0"/>
        <w:autoSpaceDE/>
        <w:autoSpaceDN/>
        <w:bidi w:val="0"/>
        <w:adjustRightInd/>
        <w:spacing w:after="0" w:line="600" w:lineRule="exact"/>
        <w:ind w:leftChars="0" w:firstLine="560"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公司与各部门签订“安全生产责任书”，针对用电、治安、特种设备、特种作业人员、动火等危险作业人员和设备、安全管理组织机构配置专职安全监督管理人员、安全管理规章制度等方面，开展定期和不定期的生产现场检查，通过现场教育和下达责令限期整改、经济处罚等形式，，做好生产安全工作，确保公司不发生重大事故。</w:t>
      </w:r>
    </w:p>
    <w:p w14:paraId="72FFB6AF">
      <w:pPr>
        <w:pStyle w:val="2"/>
        <w:keepNext w:val="0"/>
        <w:keepLines w:val="0"/>
        <w:pageBreakBefore w:val="0"/>
        <w:numPr>
          <w:ilvl w:val="0"/>
          <w:numId w:val="10"/>
        </w:numPr>
        <w:kinsoku/>
        <w:wordWrap/>
        <w:overflowPunct/>
        <w:topLinePunct w:val="0"/>
        <w:autoSpaceDE/>
        <w:autoSpaceDN/>
        <w:bidi w:val="0"/>
        <w:adjustRightInd/>
        <w:spacing w:after="0" w:line="600" w:lineRule="exact"/>
        <w:ind w:left="0" w:leftChars="0" w:firstLine="0" w:firstLineChars="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积极投身公益</w:t>
      </w:r>
    </w:p>
    <w:p w14:paraId="490C76A6">
      <w:pPr>
        <w:keepNext w:val="0"/>
        <w:keepLines w:val="0"/>
        <w:pageBreakBefore w:val="0"/>
        <w:widowControl/>
        <w:kinsoku/>
        <w:wordWrap/>
        <w:overflowPunct/>
        <w:topLinePunct w:val="0"/>
        <w:autoSpaceDE/>
        <w:autoSpaceDN/>
        <w:bidi w:val="0"/>
        <w:adjustRightInd/>
        <w:snapToGrid w:val="0"/>
        <w:spacing w:line="600" w:lineRule="exact"/>
        <w:ind w:firstLine="480"/>
        <w:jc w:val="left"/>
        <w:textAlignment w:val="auto"/>
        <w:rPr>
          <w:rFonts w:hint="eastAsia" w:ascii="仿宋" w:hAnsi="仿宋" w:eastAsia="仿宋" w:cs="仿宋"/>
          <w:sz w:val="28"/>
          <w:szCs w:val="28"/>
        </w:rPr>
      </w:pPr>
      <w:r>
        <w:rPr>
          <w:rFonts w:hint="eastAsia" w:ascii="仿宋" w:hAnsi="仿宋" w:eastAsia="仿宋" w:cs="仿宋"/>
          <w:sz w:val="28"/>
          <w:szCs w:val="28"/>
        </w:rPr>
        <w:t>公司高层热心公益事业，近三年来向慈善基金、教育基金、疫情定向捐款、扶贫定向捐款等捐助等公益支持金额达140万元，同时公司组织员工踊跃参加义务植树、无偿鲜血、贫困学生结对、新农村建设等多项活动，随着易锻文化的发扬，员工社会责任意识不断提升，积极参与公益事业的热情不断高涨。</w:t>
      </w:r>
    </w:p>
    <w:p w14:paraId="1C23C495">
      <w:pPr>
        <w:pStyle w:val="20"/>
        <w:numPr>
          <w:ilvl w:val="0"/>
          <w:numId w:val="0"/>
        </w:numPr>
        <w:adjustRightInd w:val="0"/>
        <w:snapToGrid w:val="0"/>
        <w:spacing w:line="276" w:lineRule="auto"/>
        <w:ind w:leftChars="0"/>
        <w:jc w:val="center"/>
        <w:rPr>
          <w:rFonts w:ascii="微软雅黑" w:hAnsi="微软雅黑" w:eastAsia="微软雅黑"/>
          <w:b/>
          <w:szCs w:val="21"/>
        </w:rPr>
      </w:pPr>
      <w:r>
        <w:rPr>
          <w:rFonts w:hint="eastAsia" w:ascii="微软雅黑" w:hAnsi="微软雅黑" w:eastAsia="微软雅黑"/>
          <w:b/>
          <w:szCs w:val="21"/>
        </w:rPr>
        <w:t>2</w:t>
      </w:r>
      <w:r>
        <w:rPr>
          <w:rFonts w:ascii="微软雅黑" w:hAnsi="微软雅黑" w:eastAsia="微软雅黑"/>
          <w:b/>
          <w:szCs w:val="21"/>
        </w:rPr>
        <w:t>02</w:t>
      </w:r>
      <w:r>
        <w:rPr>
          <w:rFonts w:hint="eastAsia" w:ascii="微软雅黑" w:hAnsi="微软雅黑" w:eastAsia="微软雅黑"/>
          <w:b/>
          <w:szCs w:val="21"/>
          <w:lang w:val="en-US" w:eastAsia="zh-CN"/>
        </w:rPr>
        <w:t>2</w:t>
      </w:r>
      <w:r>
        <w:rPr>
          <w:rFonts w:hint="eastAsia" w:ascii="微软雅黑" w:hAnsi="微软雅黑" w:eastAsia="微软雅黑"/>
          <w:b/>
          <w:szCs w:val="21"/>
        </w:rPr>
        <w:t>-</w:t>
      </w:r>
      <w:r>
        <w:rPr>
          <w:rFonts w:ascii="微软雅黑" w:hAnsi="微软雅黑" w:eastAsia="微软雅黑"/>
          <w:b/>
          <w:szCs w:val="21"/>
        </w:rPr>
        <w:t>202</w:t>
      </w:r>
      <w:r>
        <w:rPr>
          <w:rFonts w:hint="eastAsia" w:ascii="微软雅黑" w:hAnsi="微软雅黑" w:eastAsia="微软雅黑"/>
          <w:b/>
          <w:szCs w:val="21"/>
          <w:lang w:val="en-US" w:eastAsia="zh-CN"/>
        </w:rPr>
        <w:t>4</w:t>
      </w:r>
      <w:r>
        <w:rPr>
          <w:rFonts w:hint="eastAsia" w:ascii="微软雅黑" w:hAnsi="微软雅黑" w:eastAsia="微软雅黑"/>
          <w:b/>
          <w:szCs w:val="21"/>
        </w:rPr>
        <w:t>年公益支持方面的结果</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3591"/>
        <w:gridCol w:w="1861"/>
        <w:gridCol w:w="1861"/>
        <w:gridCol w:w="1861"/>
      </w:tblGrid>
      <w:tr w14:paraId="0CCB1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tblHeader/>
          <w:jc w:val="center"/>
        </w:trPr>
        <w:tc>
          <w:tcPr>
            <w:tcW w:w="3591" w:type="dxa"/>
            <w:shd w:val="clear" w:color="auto" w:fill="0070C0"/>
            <w:vAlign w:val="center"/>
          </w:tcPr>
          <w:p w14:paraId="7A79EF64">
            <w:pPr>
              <w:adjustRightInd w:val="0"/>
              <w:snapToGrid w:val="0"/>
              <w:jc w:val="center"/>
              <w:rPr>
                <w:rFonts w:ascii="微软雅黑" w:hAnsi="微软雅黑" w:eastAsia="微软雅黑"/>
                <w:b/>
                <w:color w:val="FFFFFF" w:themeColor="background1"/>
                <w:kern w:val="0"/>
                <w:szCs w:val="21"/>
                <w14:textFill>
                  <w14:solidFill>
                    <w14:schemeClr w14:val="bg1"/>
                  </w14:solidFill>
                </w14:textFill>
              </w:rPr>
            </w:pPr>
            <w:r>
              <w:rPr>
                <w:rFonts w:hint="eastAsia" w:ascii="微软雅黑" w:hAnsi="微软雅黑" w:eastAsia="微软雅黑"/>
                <w:b/>
                <w:color w:val="FFFFFF" w:themeColor="background1"/>
                <w:kern w:val="0"/>
                <w:szCs w:val="21"/>
                <w14:textFill>
                  <w14:solidFill>
                    <w14:schemeClr w14:val="bg1"/>
                  </w14:solidFill>
                </w14:textFill>
              </w:rPr>
              <w:t>方面</w:t>
            </w:r>
          </w:p>
        </w:tc>
        <w:tc>
          <w:tcPr>
            <w:tcW w:w="1861" w:type="dxa"/>
            <w:shd w:val="clear" w:color="auto" w:fill="0070C0"/>
            <w:vAlign w:val="center"/>
          </w:tcPr>
          <w:p w14:paraId="213C22A9">
            <w:pPr>
              <w:adjustRightInd w:val="0"/>
              <w:snapToGrid w:val="0"/>
              <w:jc w:val="center"/>
              <w:rPr>
                <w:rFonts w:ascii="微软雅黑" w:hAnsi="微软雅黑" w:eastAsia="微软雅黑" w:cs="Times New Roman"/>
                <w:b/>
                <w:color w:val="FFFFFF" w:themeColor="background1"/>
                <w:kern w:val="0"/>
                <w:sz w:val="21"/>
                <w:szCs w:val="21"/>
                <w:lang w:val="en-US" w:eastAsia="zh-CN" w:bidi="ar-SA"/>
                <w14:textFill>
                  <w14:solidFill>
                    <w14:schemeClr w14:val="bg1"/>
                  </w14:solidFill>
                </w14:textFill>
              </w:rPr>
            </w:pPr>
            <w:r>
              <w:rPr>
                <w:rFonts w:hint="eastAsia" w:ascii="微软雅黑" w:hAnsi="微软雅黑" w:eastAsia="微软雅黑"/>
                <w:b/>
                <w:color w:val="FFFFFF" w:themeColor="background1"/>
                <w:kern w:val="0"/>
                <w:szCs w:val="21"/>
                <w14:textFill>
                  <w14:solidFill>
                    <w14:schemeClr w14:val="bg1"/>
                  </w14:solidFill>
                </w14:textFill>
              </w:rPr>
              <w:t>2</w:t>
            </w:r>
            <w:r>
              <w:rPr>
                <w:rFonts w:ascii="微软雅黑" w:hAnsi="微软雅黑" w:eastAsia="微软雅黑"/>
                <w:b/>
                <w:color w:val="FFFFFF" w:themeColor="background1"/>
                <w:kern w:val="0"/>
                <w:szCs w:val="21"/>
                <w14:textFill>
                  <w14:solidFill>
                    <w14:schemeClr w14:val="bg1"/>
                  </w14:solidFill>
                </w14:textFill>
              </w:rPr>
              <w:t>022</w:t>
            </w:r>
            <w:r>
              <w:rPr>
                <w:rFonts w:hint="eastAsia" w:ascii="微软雅黑" w:hAnsi="微软雅黑" w:eastAsia="微软雅黑"/>
                <w:b/>
                <w:color w:val="FFFFFF" w:themeColor="background1"/>
                <w:kern w:val="0"/>
                <w:szCs w:val="21"/>
                <w14:textFill>
                  <w14:solidFill>
                    <w14:schemeClr w14:val="bg1"/>
                  </w14:solidFill>
                </w14:textFill>
              </w:rPr>
              <w:t>年</w:t>
            </w:r>
          </w:p>
        </w:tc>
        <w:tc>
          <w:tcPr>
            <w:tcW w:w="1861" w:type="dxa"/>
            <w:shd w:val="clear" w:color="auto" w:fill="0070C0"/>
            <w:vAlign w:val="center"/>
          </w:tcPr>
          <w:p w14:paraId="0548136C">
            <w:pPr>
              <w:adjustRightInd w:val="0"/>
              <w:snapToGrid w:val="0"/>
              <w:jc w:val="center"/>
              <w:rPr>
                <w:rFonts w:ascii="微软雅黑" w:hAnsi="微软雅黑" w:eastAsia="微软雅黑" w:cs="Times New Roman"/>
                <w:b/>
                <w:color w:val="FFFFFF" w:themeColor="background1"/>
                <w:kern w:val="0"/>
                <w:sz w:val="21"/>
                <w:szCs w:val="21"/>
                <w:lang w:val="en-US" w:eastAsia="zh-CN" w:bidi="ar-SA"/>
                <w14:textFill>
                  <w14:solidFill>
                    <w14:schemeClr w14:val="bg1"/>
                  </w14:solidFill>
                </w14:textFill>
              </w:rPr>
            </w:pPr>
            <w:r>
              <w:rPr>
                <w:rFonts w:hint="eastAsia" w:ascii="微软雅黑" w:hAnsi="微软雅黑" w:eastAsia="微软雅黑"/>
                <w:b/>
                <w:color w:val="FFFFFF" w:themeColor="background1"/>
                <w:kern w:val="0"/>
                <w:szCs w:val="21"/>
                <w14:textFill>
                  <w14:solidFill>
                    <w14:schemeClr w14:val="bg1"/>
                  </w14:solidFill>
                </w14:textFill>
              </w:rPr>
              <w:t>2</w:t>
            </w:r>
            <w:r>
              <w:rPr>
                <w:rFonts w:ascii="微软雅黑" w:hAnsi="微软雅黑" w:eastAsia="微软雅黑"/>
                <w:b/>
                <w:color w:val="FFFFFF" w:themeColor="background1"/>
                <w:kern w:val="0"/>
                <w:szCs w:val="21"/>
                <w14:textFill>
                  <w14:solidFill>
                    <w14:schemeClr w14:val="bg1"/>
                  </w14:solidFill>
                </w14:textFill>
              </w:rPr>
              <w:t>023</w:t>
            </w:r>
            <w:r>
              <w:rPr>
                <w:rFonts w:hint="eastAsia" w:ascii="微软雅黑" w:hAnsi="微软雅黑" w:eastAsia="微软雅黑"/>
                <w:b/>
                <w:color w:val="FFFFFF" w:themeColor="background1"/>
                <w:kern w:val="0"/>
                <w:szCs w:val="21"/>
                <w14:textFill>
                  <w14:solidFill>
                    <w14:schemeClr w14:val="bg1"/>
                  </w14:solidFill>
                </w14:textFill>
              </w:rPr>
              <w:t>年</w:t>
            </w:r>
          </w:p>
        </w:tc>
        <w:tc>
          <w:tcPr>
            <w:tcW w:w="1861" w:type="dxa"/>
            <w:shd w:val="clear" w:color="auto" w:fill="0070C0"/>
            <w:vAlign w:val="center"/>
          </w:tcPr>
          <w:p w14:paraId="7E90A4F4">
            <w:pPr>
              <w:adjustRightInd w:val="0"/>
              <w:snapToGrid w:val="0"/>
              <w:jc w:val="center"/>
              <w:rPr>
                <w:rFonts w:hint="default" w:ascii="微软雅黑" w:hAnsi="微软雅黑" w:eastAsia="微软雅黑"/>
                <w:b/>
                <w:color w:val="FFFFFF" w:themeColor="background1"/>
                <w:kern w:val="0"/>
                <w:szCs w:val="21"/>
                <w:lang w:val="en-US" w:eastAsia="zh-CN"/>
                <w14:textFill>
                  <w14:solidFill>
                    <w14:schemeClr w14:val="bg1"/>
                  </w14:solidFill>
                </w14:textFill>
              </w:rPr>
            </w:pPr>
            <w:r>
              <w:rPr>
                <w:rFonts w:hint="eastAsia" w:ascii="微软雅黑" w:hAnsi="微软雅黑" w:eastAsia="微软雅黑"/>
                <w:b/>
                <w:color w:val="FFFFFF" w:themeColor="background1"/>
                <w:kern w:val="0"/>
                <w:szCs w:val="21"/>
                <w:lang w:val="en-US" w:eastAsia="zh-CN"/>
                <w14:textFill>
                  <w14:solidFill>
                    <w14:schemeClr w14:val="bg1"/>
                  </w14:solidFill>
                </w14:textFill>
              </w:rPr>
              <w:t>2024</w:t>
            </w:r>
          </w:p>
        </w:tc>
      </w:tr>
      <w:tr w14:paraId="1E87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340" w:hRule="atLeast"/>
          <w:jc w:val="center"/>
        </w:trPr>
        <w:tc>
          <w:tcPr>
            <w:tcW w:w="3591" w:type="dxa"/>
            <w:vAlign w:val="center"/>
          </w:tcPr>
          <w:p w14:paraId="062BD2BD">
            <w:pPr>
              <w:adjustRightInd w:val="0"/>
              <w:snapToGrid w:val="0"/>
              <w:jc w:val="center"/>
              <w:rPr>
                <w:rFonts w:ascii="微软雅黑" w:hAnsi="微软雅黑" w:eastAsia="微软雅黑"/>
                <w:kern w:val="0"/>
                <w:szCs w:val="21"/>
              </w:rPr>
            </w:pPr>
            <w:r>
              <w:rPr>
                <w:rFonts w:hint="eastAsia" w:ascii="微软雅黑" w:hAnsi="微软雅黑" w:eastAsia="微软雅黑"/>
                <w:kern w:val="0"/>
                <w:szCs w:val="21"/>
              </w:rPr>
              <w:t>公益捐赠（万元）</w:t>
            </w:r>
          </w:p>
        </w:tc>
        <w:tc>
          <w:tcPr>
            <w:tcW w:w="1861" w:type="dxa"/>
            <w:shd w:val="clear" w:color="auto" w:fill="auto"/>
            <w:vAlign w:val="center"/>
          </w:tcPr>
          <w:p w14:paraId="4D74F9F9">
            <w:pPr>
              <w:adjustRightInd w:val="0"/>
              <w:snapToGrid w:val="0"/>
              <w:jc w:val="center"/>
              <w:rPr>
                <w:rFonts w:hint="default" w:ascii="微软雅黑" w:hAnsi="微软雅黑" w:eastAsia="微软雅黑" w:cs="Times New Roman"/>
                <w:color w:val="000000"/>
                <w:kern w:val="0"/>
                <w:sz w:val="21"/>
                <w:szCs w:val="21"/>
                <w:lang w:val="en-US" w:eastAsia="zh-CN" w:bidi="ar-SA"/>
              </w:rPr>
            </w:pPr>
            <w:r>
              <w:rPr>
                <w:rFonts w:hint="eastAsia" w:ascii="微软雅黑" w:hAnsi="微软雅黑" w:eastAsia="微软雅黑"/>
                <w:color w:val="000000"/>
                <w:kern w:val="0"/>
                <w:szCs w:val="21"/>
                <w:lang w:val="en-US" w:eastAsia="zh-CN"/>
              </w:rPr>
              <w:t>45.67</w:t>
            </w:r>
          </w:p>
        </w:tc>
        <w:tc>
          <w:tcPr>
            <w:tcW w:w="1861" w:type="dxa"/>
            <w:shd w:val="clear" w:color="auto" w:fill="auto"/>
            <w:vAlign w:val="center"/>
          </w:tcPr>
          <w:p w14:paraId="5D04EDAD">
            <w:pPr>
              <w:adjustRightInd w:val="0"/>
              <w:snapToGrid w:val="0"/>
              <w:jc w:val="center"/>
              <w:rPr>
                <w:rFonts w:hint="default" w:ascii="微软雅黑" w:hAnsi="微软雅黑" w:eastAsia="微软雅黑" w:cs="Times New Roman"/>
                <w:kern w:val="0"/>
                <w:sz w:val="21"/>
                <w:szCs w:val="21"/>
                <w:lang w:val="en-US" w:eastAsia="zh-CN" w:bidi="ar-SA"/>
              </w:rPr>
            </w:pPr>
            <w:r>
              <w:rPr>
                <w:rFonts w:hint="eastAsia" w:ascii="微软雅黑" w:hAnsi="微软雅黑" w:eastAsia="微软雅黑"/>
                <w:kern w:val="0"/>
                <w:szCs w:val="21"/>
                <w:lang w:val="en-US" w:eastAsia="zh-CN"/>
              </w:rPr>
              <w:t>46.30</w:t>
            </w:r>
          </w:p>
        </w:tc>
        <w:tc>
          <w:tcPr>
            <w:tcW w:w="1861" w:type="dxa"/>
            <w:vAlign w:val="center"/>
          </w:tcPr>
          <w:p w14:paraId="1800A768">
            <w:pPr>
              <w:adjustRightInd w:val="0"/>
              <w:snapToGrid w:val="0"/>
              <w:jc w:val="center"/>
              <w:rPr>
                <w:rFonts w:hint="default" w:ascii="微软雅黑" w:hAnsi="微软雅黑" w:eastAsia="微软雅黑"/>
                <w:szCs w:val="21"/>
                <w:lang w:val="en-US" w:eastAsia="zh-CN"/>
              </w:rPr>
            </w:pPr>
            <w:r>
              <w:rPr>
                <w:rFonts w:hint="eastAsia" w:ascii="微软雅黑" w:hAnsi="微软雅黑" w:eastAsia="微软雅黑"/>
                <w:szCs w:val="21"/>
                <w:lang w:val="en-US" w:eastAsia="zh-CN"/>
              </w:rPr>
              <w:t>43.37</w:t>
            </w:r>
          </w:p>
        </w:tc>
      </w:tr>
    </w:tbl>
    <w:p w14:paraId="3D473CF6">
      <w:pPr>
        <w:snapToGrid w:val="0"/>
        <w:rPr>
          <w:rFonts w:ascii="微软雅黑" w:hAnsi="微软雅黑" w:eastAsia="微软雅黑"/>
          <w:szCs w:val="21"/>
        </w:rPr>
      </w:pPr>
    </w:p>
    <w:p w14:paraId="342C8E9D">
      <w:pPr>
        <w:pStyle w:val="2"/>
        <w:pageBreakBefore w:val="0"/>
        <w:numPr>
          <w:ilvl w:val="0"/>
          <w:numId w:val="3"/>
        </w:numPr>
        <w:kinsoku/>
        <w:overflowPunct/>
        <w:topLinePunct w:val="0"/>
        <w:bidi w:val="0"/>
        <w:spacing w:after="0" w:line="360" w:lineRule="auto"/>
        <w:ind w:left="0" w:leftChars="0" w:firstLine="0" w:firstLineChars="0"/>
        <w:jc w:val="both"/>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公司荣誉、知识产权</w:t>
      </w:r>
    </w:p>
    <w:p w14:paraId="7B3AAF5C">
      <w:pPr>
        <w:pStyle w:val="2"/>
        <w:pageBreakBefore w:val="0"/>
        <w:numPr>
          <w:ilvl w:val="0"/>
          <w:numId w:val="0"/>
        </w:numPr>
        <w:kinsoku/>
        <w:overflowPunct/>
        <w:topLinePunct w:val="0"/>
        <w:bidi w:val="0"/>
        <w:spacing w:after="0" w:line="360" w:lineRule="auto"/>
        <w:ind w:leftChars="0" w:firstLine="560" w:firstLineChars="20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公司一直以来都非常重视企业形象建设，通过不断努力，赢得了社会各界广泛认可，获得了较多的荣誉奖项。</w:t>
      </w:r>
    </w:p>
    <w:p w14:paraId="637964AF">
      <w:pPr>
        <w:pStyle w:val="20"/>
        <w:pageBreakBefore w:val="0"/>
        <w:numPr>
          <w:ilvl w:val="0"/>
          <w:numId w:val="13"/>
        </w:numPr>
        <w:kinsoku/>
        <w:overflowPunct/>
        <w:topLinePunct w:val="0"/>
        <w:bidi w:val="0"/>
        <w:snapToGrid w:val="0"/>
        <w:spacing w:line="276" w:lineRule="auto"/>
        <w:ind w:firstLineChars="0"/>
        <w:jc w:val="center"/>
        <w:rPr>
          <w:rFonts w:hint="eastAsia" w:ascii="仿宋" w:hAnsi="仿宋" w:eastAsia="仿宋" w:cs="仿宋"/>
          <w:b/>
          <w:kern w:val="0"/>
          <w:sz w:val="28"/>
          <w:szCs w:val="28"/>
        </w:rPr>
      </w:pPr>
      <w:r>
        <w:rPr>
          <w:rFonts w:hint="eastAsia" w:ascii="仿宋" w:hAnsi="仿宋" w:eastAsia="仿宋" w:cs="仿宋"/>
          <w:b/>
          <w:kern w:val="0"/>
          <w:sz w:val="28"/>
          <w:szCs w:val="28"/>
          <w:lang w:val="en-US" w:eastAsia="zh-CN"/>
        </w:rPr>
        <w:t>近三年</w:t>
      </w:r>
      <w:r>
        <w:rPr>
          <w:rFonts w:hint="eastAsia" w:ascii="仿宋" w:hAnsi="仿宋" w:eastAsia="仿宋" w:cs="仿宋"/>
          <w:b/>
          <w:kern w:val="0"/>
          <w:sz w:val="28"/>
          <w:szCs w:val="28"/>
        </w:rPr>
        <w:t>产品和服务荣誉一览表</w:t>
      </w:r>
    </w:p>
    <w:tbl>
      <w:tblPr>
        <w:tblStyle w:val="1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8"/>
        <w:gridCol w:w="1201"/>
        <w:gridCol w:w="2638"/>
      </w:tblGrid>
      <w:tr w14:paraId="43674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5328" w:type="dxa"/>
            <w:shd w:val="clear" w:color="auto" w:fill="0070C0"/>
            <w:vAlign w:val="center"/>
          </w:tcPr>
          <w:p w14:paraId="660B84AE">
            <w:pPr>
              <w:pageBreakBefore w:val="0"/>
              <w:kinsoku/>
              <w:overflowPunct/>
              <w:topLinePunct w:val="0"/>
              <w:bidi w:val="0"/>
              <w:snapToGrid w:val="0"/>
              <w:jc w:val="center"/>
              <w:rPr>
                <w:rFonts w:hint="eastAsia" w:ascii="仿宋" w:hAnsi="仿宋" w:eastAsia="仿宋" w:cs="仿宋"/>
                <w:b/>
                <w:color w:val="FFFFFF" w:themeColor="background1"/>
                <w:spacing w:val="-4"/>
                <w:sz w:val="24"/>
                <w:szCs w:val="24"/>
                <w14:textFill>
                  <w14:solidFill>
                    <w14:schemeClr w14:val="bg1"/>
                  </w14:solidFill>
                </w14:textFill>
              </w:rPr>
            </w:pPr>
            <w:r>
              <w:rPr>
                <w:rFonts w:hint="eastAsia" w:ascii="仿宋" w:hAnsi="仿宋" w:eastAsia="仿宋" w:cs="仿宋"/>
                <w:b/>
                <w:color w:val="FFFFFF" w:themeColor="background1"/>
                <w:spacing w:val="-4"/>
                <w:sz w:val="24"/>
                <w:szCs w:val="24"/>
                <w14:textFill>
                  <w14:solidFill>
                    <w14:schemeClr w14:val="bg1"/>
                  </w14:solidFill>
                </w14:textFill>
              </w:rPr>
              <w:t>获奖名称</w:t>
            </w:r>
          </w:p>
        </w:tc>
        <w:tc>
          <w:tcPr>
            <w:tcW w:w="1201" w:type="dxa"/>
            <w:shd w:val="clear" w:color="auto" w:fill="0070C0"/>
            <w:vAlign w:val="center"/>
          </w:tcPr>
          <w:p w14:paraId="5C2A5251">
            <w:pPr>
              <w:pageBreakBefore w:val="0"/>
              <w:kinsoku/>
              <w:overflowPunct/>
              <w:topLinePunct w:val="0"/>
              <w:bidi w:val="0"/>
              <w:snapToGrid w:val="0"/>
              <w:jc w:val="center"/>
              <w:rPr>
                <w:rFonts w:hint="eastAsia" w:ascii="仿宋" w:hAnsi="仿宋" w:eastAsia="仿宋" w:cs="仿宋"/>
                <w:b/>
                <w:color w:val="FFFFFF" w:themeColor="background1"/>
                <w:spacing w:val="-4"/>
                <w:sz w:val="24"/>
                <w:szCs w:val="24"/>
                <w14:textFill>
                  <w14:solidFill>
                    <w14:schemeClr w14:val="bg1"/>
                  </w14:solidFill>
                </w14:textFill>
              </w:rPr>
            </w:pPr>
            <w:r>
              <w:rPr>
                <w:rFonts w:hint="eastAsia" w:ascii="仿宋" w:hAnsi="仿宋" w:eastAsia="仿宋" w:cs="仿宋"/>
                <w:b/>
                <w:color w:val="FFFFFF" w:themeColor="background1"/>
                <w:spacing w:val="-4"/>
                <w:sz w:val="24"/>
                <w:szCs w:val="24"/>
                <w14:textFill>
                  <w14:solidFill>
                    <w14:schemeClr w14:val="bg1"/>
                  </w14:solidFill>
                </w14:textFill>
              </w:rPr>
              <w:t>获奖时间</w:t>
            </w:r>
          </w:p>
        </w:tc>
        <w:tc>
          <w:tcPr>
            <w:tcW w:w="2638" w:type="dxa"/>
            <w:shd w:val="clear" w:color="auto" w:fill="0070C0"/>
            <w:vAlign w:val="center"/>
          </w:tcPr>
          <w:p w14:paraId="6C4E3BDA">
            <w:pPr>
              <w:pageBreakBefore w:val="0"/>
              <w:kinsoku/>
              <w:overflowPunct/>
              <w:topLinePunct w:val="0"/>
              <w:bidi w:val="0"/>
              <w:snapToGrid w:val="0"/>
              <w:jc w:val="center"/>
              <w:rPr>
                <w:rFonts w:hint="eastAsia" w:ascii="仿宋" w:hAnsi="仿宋" w:eastAsia="仿宋" w:cs="仿宋"/>
                <w:b/>
                <w:color w:val="FFFFFF" w:themeColor="background1"/>
                <w:spacing w:val="-4"/>
                <w:sz w:val="24"/>
                <w:szCs w:val="24"/>
                <w14:textFill>
                  <w14:solidFill>
                    <w14:schemeClr w14:val="bg1"/>
                  </w14:solidFill>
                </w14:textFill>
              </w:rPr>
            </w:pPr>
            <w:r>
              <w:rPr>
                <w:rFonts w:hint="eastAsia" w:ascii="仿宋" w:hAnsi="仿宋" w:eastAsia="仿宋" w:cs="仿宋"/>
                <w:b/>
                <w:color w:val="FFFFFF" w:themeColor="background1"/>
                <w:spacing w:val="-4"/>
                <w:sz w:val="24"/>
                <w:szCs w:val="24"/>
                <w14:textFill>
                  <w14:solidFill>
                    <w14:schemeClr w14:val="bg1"/>
                  </w14:solidFill>
                </w14:textFill>
              </w:rPr>
              <w:t>颁奖部门</w:t>
            </w:r>
          </w:p>
        </w:tc>
      </w:tr>
      <w:tr w14:paraId="6178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74C70498">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国家两化融合管理体系贯标试点企业</w:t>
            </w:r>
          </w:p>
        </w:tc>
        <w:tc>
          <w:tcPr>
            <w:tcW w:w="1201" w:type="dxa"/>
            <w:shd w:val="clear" w:color="auto" w:fill="auto"/>
            <w:vAlign w:val="center"/>
          </w:tcPr>
          <w:p w14:paraId="6FAFE9AA">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2020.11</w:t>
            </w:r>
          </w:p>
        </w:tc>
        <w:tc>
          <w:tcPr>
            <w:tcW w:w="2638" w:type="dxa"/>
            <w:shd w:val="clear" w:color="auto" w:fill="auto"/>
            <w:vAlign w:val="center"/>
          </w:tcPr>
          <w:p w14:paraId="7E613A73">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工信部</w:t>
            </w:r>
          </w:p>
        </w:tc>
      </w:tr>
      <w:tr w14:paraId="44C5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52F89A2F">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专精特新“小巨人”企业</w:t>
            </w:r>
          </w:p>
        </w:tc>
        <w:tc>
          <w:tcPr>
            <w:tcW w:w="1201" w:type="dxa"/>
            <w:shd w:val="clear" w:color="auto" w:fill="auto"/>
            <w:vAlign w:val="center"/>
          </w:tcPr>
          <w:p w14:paraId="30F90E8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2020.12</w:t>
            </w:r>
          </w:p>
        </w:tc>
        <w:tc>
          <w:tcPr>
            <w:tcW w:w="2638" w:type="dxa"/>
            <w:shd w:val="clear" w:color="auto" w:fill="auto"/>
            <w:vAlign w:val="center"/>
          </w:tcPr>
          <w:p w14:paraId="32DCC2DC">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工信部</w:t>
            </w:r>
          </w:p>
        </w:tc>
      </w:tr>
      <w:tr w14:paraId="59DF5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3BB5CC37">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数控智能闭式多点压力机系列研制及产业化荣获浙江机械工业科学技术奖二等奖</w:t>
            </w:r>
          </w:p>
        </w:tc>
        <w:tc>
          <w:tcPr>
            <w:tcW w:w="1201" w:type="dxa"/>
            <w:shd w:val="clear" w:color="auto" w:fill="auto"/>
            <w:vAlign w:val="center"/>
          </w:tcPr>
          <w:p w14:paraId="4F64F1C0">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2020/12</w:t>
            </w:r>
          </w:p>
        </w:tc>
        <w:tc>
          <w:tcPr>
            <w:tcW w:w="2638" w:type="dxa"/>
            <w:shd w:val="clear" w:color="auto" w:fill="auto"/>
            <w:vAlign w:val="center"/>
          </w:tcPr>
          <w:p w14:paraId="6BF29AA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浙江省机械工业联合会</w:t>
            </w:r>
          </w:p>
        </w:tc>
      </w:tr>
      <w:tr w14:paraId="701A9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0F288A7B">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2020年度宁波市科学技术三等奖：物联式数控智能闭式多点压力机系列研制及产业化</w:t>
            </w:r>
          </w:p>
        </w:tc>
        <w:tc>
          <w:tcPr>
            <w:tcW w:w="1201" w:type="dxa"/>
            <w:shd w:val="clear" w:color="auto" w:fill="auto"/>
            <w:vAlign w:val="center"/>
          </w:tcPr>
          <w:p w14:paraId="6DD7AE8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2021/02</w:t>
            </w:r>
          </w:p>
        </w:tc>
        <w:tc>
          <w:tcPr>
            <w:tcW w:w="2638" w:type="dxa"/>
            <w:shd w:val="clear" w:color="auto" w:fill="auto"/>
            <w:vAlign w:val="center"/>
          </w:tcPr>
          <w:p w14:paraId="7C2D069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宁波市政府</w:t>
            </w:r>
          </w:p>
        </w:tc>
      </w:tr>
      <w:tr w14:paraId="7CDE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63A27EB3">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浙江机械工业科学技术奖一等奖项目：高强力精密导柱式智能数控物联式开式压力机系列研制及产业化</w:t>
            </w:r>
          </w:p>
        </w:tc>
        <w:tc>
          <w:tcPr>
            <w:tcW w:w="1201" w:type="dxa"/>
            <w:shd w:val="clear" w:color="auto" w:fill="auto"/>
            <w:vAlign w:val="center"/>
          </w:tcPr>
          <w:p w14:paraId="0990644C">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w:t>
            </w:r>
          </w:p>
        </w:tc>
        <w:tc>
          <w:tcPr>
            <w:tcW w:w="2638" w:type="dxa"/>
            <w:shd w:val="clear" w:color="auto" w:fill="auto"/>
            <w:vAlign w:val="center"/>
          </w:tcPr>
          <w:p w14:paraId="44F7B09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浙江省机械工业联合会</w:t>
            </w:r>
          </w:p>
        </w:tc>
      </w:tr>
      <w:tr w14:paraId="6C0C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5171DF83">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驰名商标</w:t>
            </w:r>
          </w:p>
        </w:tc>
        <w:tc>
          <w:tcPr>
            <w:tcW w:w="1201" w:type="dxa"/>
            <w:shd w:val="clear" w:color="auto" w:fill="auto"/>
            <w:vAlign w:val="center"/>
          </w:tcPr>
          <w:p w14:paraId="2ECC16C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2021.11</w:t>
            </w:r>
          </w:p>
        </w:tc>
        <w:tc>
          <w:tcPr>
            <w:tcW w:w="2638" w:type="dxa"/>
            <w:shd w:val="clear" w:color="auto" w:fill="auto"/>
            <w:vAlign w:val="center"/>
          </w:tcPr>
          <w:p w14:paraId="43038EA5">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国家知识产权局</w:t>
            </w:r>
          </w:p>
        </w:tc>
      </w:tr>
      <w:tr w14:paraId="2F91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60521B30">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第六届中国创新挑战赛（宁波）-最佳技术需求奖</w:t>
            </w:r>
          </w:p>
        </w:tc>
        <w:tc>
          <w:tcPr>
            <w:tcW w:w="1201" w:type="dxa"/>
            <w:shd w:val="clear" w:color="auto" w:fill="auto"/>
            <w:vAlign w:val="center"/>
          </w:tcPr>
          <w:p w14:paraId="2582BFC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w:t>
            </w:r>
          </w:p>
        </w:tc>
        <w:tc>
          <w:tcPr>
            <w:tcW w:w="2638" w:type="dxa"/>
            <w:shd w:val="clear" w:color="auto" w:fill="auto"/>
            <w:vAlign w:val="center"/>
          </w:tcPr>
          <w:p w14:paraId="41154377">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宁波市科技局</w:t>
            </w:r>
          </w:p>
        </w:tc>
      </w:tr>
      <w:tr w14:paraId="1142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0BFA8859">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EDS-80型高强力精密导柱式开式压力机荣获如意杯“科创宁波·甬创未来”首届科技大赛优胜奖</w:t>
            </w:r>
          </w:p>
        </w:tc>
        <w:tc>
          <w:tcPr>
            <w:tcW w:w="1201" w:type="dxa"/>
            <w:shd w:val="clear" w:color="auto" w:fill="auto"/>
            <w:vAlign w:val="center"/>
          </w:tcPr>
          <w:p w14:paraId="51195ECC">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2021/10</w:t>
            </w:r>
          </w:p>
        </w:tc>
        <w:tc>
          <w:tcPr>
            <w:tcW w:w="2638" w:type="dxa"/>
            <w:shd w:val="clear" w:color="auto" w:fill="auto"/>
            <w:vAlign w:val="center"/>
          </w:tcPr>
          <w:p w14:paraId="2F006DC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市科技局等</w:t>
            </w:r>
          </w:p>
        </w:tc>
      </w:tr>
      <w:tr w14:paraId="11E88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3807F024">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智能精密塑性成形产业链上下游企业共同体</w:t>
            </w:r>
          </w:p>
        </w:tc>
        <w:tc>
          <w:tcPr>
            <w:tcW w:w="1201" w:type="dxa"/>
            <w:shd w:val="clear" w:color="auto" w:fill="auto"/>
            <w:vAlign w:val="center"/>
          </w:tcPr>
          <w:p w14:paraId="0B47972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2021/08</w:t>
            </w:r>
          </w:p>
        </w:tc>
        <w:tc>
          <w:tcPr>
            <w:tcW w:w="2638" w:type="dxa"/>
            <w:shd w:val="clear" w:color="auto" w:fill="auto"/>
            <w:vAlign w:val="center"/>
          </w:tcPr>
          <w:p w14:paraId="51761DC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216A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1C99CB67">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宁波市生态环保执法正面清单企业</w:t>
            </w:r>
          </w:p>
        </w:tc>
        <w:tc>
          <w:tcPr>
            <w:tcW w:w="1201" w:type="dxa"/>
            <w:shd w:val="clear" w:color="auto" w:fill="auto"/>
            <w:vAlign w:val="center"/>
          </w:tcPr>
          <w:p w14:paraId="44D41A1C">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w:t>
            </w:r>
          </w:p>
        </w:tc>
        <w:tc>
          <w:tcPr>
            <w:tcW w:w="2638" w:type="dxa"/>
            <w:shd w:val="clear" w:color="auto" w:fill="auto"/>
            <w:vAlign w:val="center"/>
          </w:tcPr>
          <w:p w14:paraId="66BA6160">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宁波市生态环境局</w:t>
            </w:r>
          </w:p>
        </w:tc>
      </w:tr>
      <w:tr w14:paraId="21FA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319143DD">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p>
        </w:tc>
        <w:tc>
          <w:tcPr>
            <w:tcW w:w="1201" w:type="dxa"/>
            <w:shd w:val="clear" w:color="auto" w:fill="auto"/>
            <w:vAlign w:val="center"/>
          </w:tcPr>
          <w:p w14:paraId="3C38F43A">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p>
        </w:tc>
        <w:tc>
          <w:tcPr>
            <w:tcW w:w="2638" w:type="dxa"/>
            <w:shd w:val="clear" w:color="auto" w:fill="auto"/>
            <w:vAlign w:val="center"/>
          </w:tcPr>
          <w:p w14:paraId="77C82930">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p>
        </w:tc>
      </w:tr>
      <w:tr w14:paraId="0E192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07AFFAEC">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国家级“重点小巨人”企业</w:t>
            </w:r>
          </w:p>
        </w:tc>
        <w:tc>
          <w:tcPr>
            <w:tcW w:w="1201" w:type="dxa"/>
            <w:vAlign w:val="center"/>
          </w:tcPr>
          <w:p w14:paraId="16AB52FF">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2022.02</w:t>
            </w:r>
          </w:p>
        </w:tc>
        <w:tc>
          <w:tcPr>
            <w:tcW w:w="2638" w:type="dxa"/>
            <w:vAlign w:val="center"/>
          </w:tcPr>
          <w:p w14:paraId="029CCE7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工信部</w:t>
            </w:r>
          </w:p>
        </w:tc>
      </w:tr>
      <w:tr w14:paraId="312CD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1C981E32">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EDS-80型高强力精密导柱式开式压力机被认定为“浙江制造”精品</w:t>
            </w:r>
          </w:p>
        </w:tc>
        <w:tc>
          <w:tcPr>
            <w:tcW w:w="1201" w:type="dxa"/>
            <w:shd w:val="clear" w:color="auto" w:fill="auto"/>
            <w:vAlign w:val="center"/>
          </w:tcPr>
          <w:p w14:paraId="0F2018B7">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2022/03</w:t>
            </w:r>
          </w:p>
        </w:tc>
        <w:tc>
          <w:tcPr>
            <w:tcW w:w="2638" w:type="dxa"/>
            <w:shd w:val="clear" w:color="auto" w:fill="auto"/>
            <w:vAlign w:val="center"/>
          </w:tcPr>
          <w:p w14:paraId="3B93438A">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05A9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651AB026">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宁波市2022年十大标志性产业链牵头单位（促进机构）</w:t>
            </w:r>
          </w:p>
        </w:tc>
        <w:tc>
          <w:tcPr>
            <w:tcW w:w="1201" w:type="dxa"/>
            <w:shd w:val="clear" w:color="auto" w:fill="auto"/>
            <w:vAlign w:val="center"/>
          </w:tcPr>
          <w:p w14:paraId="61992BB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2022/03</w:t>
            </w:r>
          </w:p>
        </w:tc>
        <w:tc>
          <w:tcPr>
            <w:tcW w:w="2638" w:type="dxa"/>
            <w:shd w:val="clear" w:color="auto" w:fill="auto"/>
            <w:vAlign w:val="center"/>
          </w:tcPr>
          <w:p w14:paraId="39F56BF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39B6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7BD9A728">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省级产业数字化服务商</w:t>
            </w:r>
          </w:p>
        </w:tc>
        <w:tc>
          <w:tcPr>
            <w:tcW w:w="1201" w:type="dxa"/>
            <w:shd w:val="clear" w:color="auto" w:fill="auto"/>
            <w:vAlign w:val="center"/>
          </w:tcPr>
          <w:p w14:paraId="6A8BCB15">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2022/06</w:t>
            </w:r>
          </w:p>
        </w:tc>
        <w:tc>
          <w:tcPr>
            <w:tcW w:w="2638" w:type="dxa"/>
            <w:shd w:val="clear" w:color="auto" w:fill="auto"/>
            <w:vAlign w:val="center"/>
          </w:tcPr>
          <w:p w14:paraId="5FDAC26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759B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78A19DF6">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浙江省服务型制造示范企业</w:t>
            </w:r>
          </w:p>
        </w:tc>
        <w:tc>
          <w:tcPr>
            <w:tcW w:w="1201" w:type="dxa"/>
            <w:shd w:val="clear" w:color="auto" w:fill="auto"/>
            <w:vAlign w:val="center"/>
          </w:tcPr>
          <w:p w14:paraId="1B2518B8">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2022/06</w:t>
            </w:r>
          </w:p>
        </w:tc>
        <w:tc>
          <w:tcPr>
            <w:tcW w:w="2638" w:type="dxa"/>
            <w:shd w:val="clear" w:color="auto" w:fill="auto"/>
            <w:vAlign w:val="center"/>
          </w:tcPr>
          <w:p w14:paraId="2B02DCED">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09A1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7E8501E9">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2021年度宁波市智能制造优秀系统解决方案</w:t>
            </w:r>
          </w:p>
        </w:tc>
        <w:tc>
          <w:tcPr>
            <w:tcW w:w="1201" w:type="dxa"/>
            <w:shd w:val="clear" w:color="auto" w:fill="auto"/>
            <w:vAlign w:val="center"/>
          </w:tcPr>
          <w:p w14:paraId="7414D09D">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2022/06</w:t>
            </w:r>
          </w:p>
        </w:tc>
        <w:tc>
          <w:tcPr>
            <w:tcW w:w="2638" w:type="dxa"/>
            <w:shd w:val="clear" w:color="auto" w:fill="auto"/>
            <w:vAlign w:val="center"/>
          </w:tcPr>
          <w:p w14:paraId="7E1AE854">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5115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30C31A6D">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APE-500闭式抗偏载框架式双点冲床为宁波市重点工业新产品</w:t>
            </w:r>
          </w:p>
        </w:tc>
        <w:tc>
          <w:tcPr>
            <w:tcW w:w="1201" w:type="dxa"/>
            <w:shd w:val="clear" w:color="auto" w:fill="auto"/>
            <w:vAlign w:val="center"/>
          </w:tcPr>
          <w:p w14:paraId="5AF98FE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2022/06</w:t>
            </w:r>
          </w:p>
        </w:tc>
        <w:tc>
          <w:tcPr>
            <w:tcW w:w="2638" w:type="dxa"/>
            <w:shd w:val="clear" w:color="auto" w:fill="auto"/>
            <w:vAlign w:val="center"/>
          </w:tcPr>
          <w:p w14:paraId="014B95CD">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4A24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15B91C07">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全国锻压机械标准化技术委员会机械压力机零部件工作组成员单位（梅碧舟）</w:t>
            </w:r>
          </w:p>
        </w:tc>
        <w:tc>
          <w:tcPr>
            <w:tcW w:w="1201" w:type="dxa"/>
            <w:shd w:val="clear" w:color="auto" w:fill="auto"/>
            <w:vAlign w:val="center"/>
          </w:tcPr>
          <w:p w14:paraId="1F41957A">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2022.07</w:t>
            </w:r>
          </w:p>
        </w:tc>
        <w:tc>
          <w:tcPr>
            <w:tcW w:w="2638" w:type="dxa"/>
            <w:shd w:val="clear" w:color="auto" w:fill="auto"/>
            <w:vAlign w:val="center"/>
          </w:tcPr>
          <w:p w14:paraId="532C78C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全国锻压机械标准化技术委员会</w:t>
            </w:r>
          </w:p>
        </w:tc>
      </w:tr>
      <w:tr w14:paraId="7FE55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5B7F5AB0">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2022年信用管理示范企业（有效期三年）</w:t>
            </w:r>
          </w:p>
        </w:tc>
        <w:tc>
          <w:tcPr>
            <w:tcW w:w="1201" w:type="dxa"/>
            <w:shd w:val="clear" w:color="auto" w:fill="auto"/>
            <w:vAlign w:val="center"/>
          </w:tcPr>
          <w:p w14:paraId="55450490">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2022.08</w:t>
            </w:r>
          </w:p>
        </w:tc>
        <w:tc>
          <w:tcPr>
            <w:tcW w:w="2638" w:type="dxa"/>
            <w:shd w:val="clear" w:color="auto" w:fill="auto"/>
            <w:vAlign w:val="center"/>
          </w:tcPr>
          <w:p w14:paraId="5C4DF044">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浙江省企业信用促进会</w:t>
            </w:r>
          </w:p>
        </w:tc>
      </w:tr>
      <w:tr w14:paraId="208DD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10773BE4">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国家知识产权优势企业</w:t>
            </w:r>
          </w:p>
        </w:tc>
        <w:tc>
          <w:tcPr>
            <w:tcW w:w="1201" w:type="dxa"/>
            <w:shd w:val="clear" w:color="auto" w:fill="auto"/>
            <w:vAlign w:val="center"/>
          </w:tcPr>
          <w:p w14:paraId="63CFAA63">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2022.10</w:t>
            </w:r>
          </w:p>
        </w:tc>
        <w:tc>
          <w:tcPr>
            <w:tcW w:w="2638" w:type="dxa"/>
            <w:shd w:val="clear" w:color="auto" w:fill="auto"/>
            <w:vAlign w:val="center"/>
          </w:tcPr>
          <w:p w14:paraId="05E23B2A">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国家知识产权局</w:t>
            </w:r>
          </w:p>
        </w:tc>
      </w:tr>
      <w:tr w14:paraId="0C3B4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7B122E29">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浙江机械工业科学技术奖二等奖项目：新能源柱形电池壳智能冲压设备的研制及产业化</w:t>
            </w:r>
          </w:p>
        </w:tc>
        <w:tc>
          <w:tcPr>
            <w:tcW w:w="1201" w:type="dxa"/>
            <w:shd w:val="clear" w:color="auto" w:fill="auto"/>
            <w:vAlign w:val="center"/>
          </w:tcPr>
          <w:p w14:paraId="1E251F5E">
            <w:pPr>
              <w:pageBreakBefore w:val="0"/>
              <w:widowControl/>
              <w:kinsoku/>
              <w:overflowPunct/>
              <w:topLinePunct w:val="0"/>
              <w:bidi w:val="0"/>
              <w:snapToGrid w:val="0"/>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2022.11</w:t>
            </w:r>
          </w:p>
        </w:tc>
        <w:tc>
          <w:tcPr>
            <w:tcW w:w="2638" w:type="dxa"/>
            <w:shd w:val="clear" w:color="auto" w:fill="auto"/>
            <w:vAlign w:val="center"/>
          </w:tcPr>
          <w:p w14:paraId="0F187FCC">
            <w:pPr>
              <w:pageBreakBefore w:val="0"/>
              <w:kinsoku/>
              <w:overflowPunct/>
              <w:topLinePunct w:val="0"/>
              <w:bidi w:val="0"/>
              <w:snapToGrid w:val="0"/>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浙江省机械工业联合会</w:t>
            </w:r>
          </w:p>
        </w:tc>
      </w:tr>
      <w:tr w14:paraId="5D25A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68AD172F">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2022年宁波市专利创新大赛外观设计优秀奖：专利名称：快速压力机，专利号：ZL201930043846.7</w:t>
            </w:r>
          </w:p>
        </w:tc>
        <w:tc>
          <w:tcPr>
            <w:tcW w:w="1201" w:type="dxa"/>
            <w:shd w:val="clear" w:color="auto" w:fill="auto"/>
            <w:vAlign w:val="center"/>
          </w:tcPr>
          <w:p w14:paraId="6E4FF84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2022.11</w:t>
            </w:r>
          </w:p>
        </w:tc>
        <w:tc>
          <w:tcPr>
            <w:tcW w:w="2638" w:type="dxa"/>
            <w:shd w:val="clear" w:color="auto" w:fill="auto"/>
            <w:vAlign w:val="center"/>
          </w:tcPr>
          <w:p w14:paraId="6DD3A67F">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宁波市市场监督局</w:t>
            </w:r>
          </w:p>
        </w:tc>
      </w:tr>
      <w:tr w14:paraId="49FDA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3A2C654F">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2022年宁波市专利创新大赛专利优秀奖：专利名称：一种具有双飞轮动力机构的高速精密重载冲床，专利号：ZL202110597077.1</w:t>
            </w:r>
          </w:p>
        </w:tc>
        <w:tc>
          <w:tcPr>
            <w:tcW w:w="1201" w:type="dxa"/>
            <w:shd w:val="clear" w:color="auto" w:fill="auto"/>
            <w:vAlign w:val="center"/>
          </w:tcPr>
          <w:p w14:paraId="5C41BA0F">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2022.11</w:t>
            </w:r>
          </w:p>
        </w:tc>
        <w:tc>
          <w:tcPr>
            <w:tcW w:w="2638" w:type="dxa"/>
            <w:shd w:val="clear" w:color="auto" w:fill="auto"/>
            <w:vAlign w:val="center"/>
          </w:tcPr>
          <w:p w14:paraId="57041C58">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宁波市市场监督局</w:t>
            </w:r>
          </w:p>
        </w:tc>
      </w:tr>
      <w:tr w14:paraId="755C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5597DBF3">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智能数控重载高速精密压力机列入宁波市整机（成套）装备产品——精密加工和智能成形装备应用推荐目录</w:t>
            </w:r>
          </w:p>
        </w:tc>
        <w:tc>
          <w:tcPr>
            <w:tcW w:w="1201" w:type="dxa"/>
            <w:shd w:val="clear" w:color="auto" w:fill="auto"/>
            <w:vAlign w:val="center"/>
          </w:tcPr>
          <w:p w14:paraId="474F30CE">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2022.12</w:t>
            </w:r>
          </w:p>
        </w:tc>
        <w:tc>
          <w:tcPr>
            <w:tcW w:w="2638" w:type="dxa"/>
            <w:shd w:val="clear" w:color="auto" w:fill="auto"/>
            <w:vAlign w:val="center"/>
          </w:tcPr>
          <w:p w14:paraId="0A401104">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2092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1EBCE3F6">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2022年度浙江省商业秘密保护示范点建设单位</w:t>
            </w:r>
          </w:p>
        </w:tc>
        <w:tc>
          <w:tcPr>
            <w:tcW w:w="1201" w:type="dxa"/>
            <w:shd w:val="clear" w:color="auto" w:fill="auto"/>
            <w:vAlign w:val="center"/>
          </w:tcPr>
          <w:p w14:paraId="466A734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2022.12</w:t>
            </w:r>
          </w:p>
        </w:tc>
        <w:tc>
          <w:tcPr>
            <w:tcW w:w="2638" w:type="dxa"/>
            <w:shd w:val="clear" w:color="auto" w:fill="auto"/>
            <w:vAlign w:val="center"/>
          </w:tcPr>
          <w:p w14:paraId="043849DE">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浙江省市场监督管理局</w:t>
            </w:r>
          </w:p>
        </w:tc>
      </w:tr>
      <w:tr w14:paraId="49018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4F022346">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公司锻压装备数字化远程运维服务省级标准化试点被浙江省市场监督局列入2022年省级标准化试点</w:t>
            </w:r>
          </w:p>
        </w:tc>
        <w:tc>
          <w:tcPr>
            <w:tcW w:w="1201" w:type="dxa"/>
            <w:shd w:val="clear" w:color="auto" w:fill="auto"/>
            <w:vAlign w:val="center"/>
          </w:tcPr>
          <w:p w14:paraId="05256905">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2022.12</w:t>
            </w:r>
          </w:p>
        </w:tc>
        <w:tc>
          <w:tcPr>
            <w:tcW w:w="2638" w:type="dxa"/>
            <w:shd w:val="clear" w:color="auto" w:fill="auto"/>
            <w:vAlign w:val="center"/>
          </w:tcPr>
          <w:p w14:paraId="43459983">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浙江省市场监督管理局</w:t>
            </w:r>
          </w:p>
        </w:tc>
      </w:tr>
      <w:tr w14:paraId="1CCE1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2BF1E36A">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浙江易锻技术部荣获2022年宁波市工人先锋号</w:t>
            </w:r>
          </w:p>
        </w:tc>
        <w:tc>
          <w:tcPr>
            <w:tcW w:w="1201" w:type="dxa"/>
            <w:shd w:val="clear" w:color="auto" w:fill="auto"/>
            <w:vAlign w:val="center"/>
          </w:tcPr>
          <w:p w14:paraId="3D7B329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2022.12</w:t>
            </w:r>
          </w:p>
        </w:tc>
        <w:tc>
          <w:tcPr>
            <w:tcW w:w="2638" w:type="dxa"/>
            <w:shd w:val="clear" w:color="auto" w:fill="auto"/>
            <w:vAlign w:val="center"/>
          </w:tcPr>
          <w:p w14:paraId="79FB0B3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宁波市总工会</w:t>
            </w:r>
          </w:p>
        </w:tc>
      </w:tr>
      <w:tr w14:paraId="0DE6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30FC1868">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浙江制造精品—APE-800型整体框架式闭式双点精密压力机</w:t>
            </w:r>
          </w:p>
        </w:tc>
        <w:tc>
          <w:tcPr>
            <w:tcW w:w="1201" w:type="dxa"/>
            <w:shd w:val="clear" w:color="auto" w:fill="auto"/>
            <w:vAlign w:val="center"/>
          </w:tcPr>
          <w:p w14:paraId="37DE672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w:t>
            </w:r>
          </w:p>
        </w:tc>
        <w:tc>
          <w:tcPr>
            <w:tcW w:w="2638" w:type="dxa"/>
            <w:shd w:val="clear" w:color="auto" w:fill="auto"/>
            <w:vAlign w:val="center"/>
          </w:tcPr>
          <w:p w14:paraId="65E378A8">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6D3F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589E9C23">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宁波市智能制造工程服务公司</w:t>
            </w:r>
          </w:p>
        </w:tc>
        <w:tc>
          <w:tcPr>
            <w:tcW w:w="1201" w:type="dxa"/>
            <w:shd w:val="clear" w:color="auto" w:fill="auto"/>
            <w:vAlign w:val="center"/>
          </w:tcPr>
          <w:p w14:paraId="09FB3A3A">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2023.2</w:t>
            </w:r>
          </w:p>
        </w:tc>
        <w:tc>
          <w:tcPr>
            <w:tcW w:w="2638" w:type="dxa"/>
            <w:shd w:val="clear" w:color="auto" w:fill="auto"/>
            <w:vAlign w:val="center"/>
          </w:tcPr>
          <w:p w14:paraId="3806EB6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2F37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7DE3A01E">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浙江省知识产权重点保护单位</w:t>
            </w:r>
          </w:p>
        </w:tc>
        <w:tc>
          <w:tcPr>
            <w:tcW w:w="1201" w:type="dxa"/>
            <w:shd w:val="clear" w:color="auto" w:fill="auto"/>
            <w:vAlign w:val="center"/>
          </w:tcPr>
          <w:p w14:paraId="0A1CC563">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2023.3</w:t>
            </w:r>
          </w:p>
        </w:tc>
        <w:tc>
          <w:tcPr>
            <w:tcW w:w="2638" w:type="dxa"/>
            <w:shd w:val="clear" w:color="auto" w:fill="auto"/>
            <w:vAlign w:val="center"/>
          </w:tcPr>
          <w:p w14:paraId="10A68B04">
            <w:pPr>
              <w:pageBreakBefore w:val="0"/>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浙江省市场监督管理局</w:t>
            </w:r>
          </w:p>
        </w:tc>
      </w:tr>
      <w:tr w14:paraId="5B25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6599E381">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宁波市智能数控压力机“5G+工业互联网”示范项目</w:t>
            </w:r>
          </w:p>
        </w:tc>
        <w:tc>
          <w:tcPr>
            <w:tcW w:w="1201" w:type="dxa"/>
            <w:shd w:val="clear" w:color="auto" w:fill="auto"/>
            <w:vAlign w:val="center"/>
          </w:tcPr>
          <w:p w14:paraId="15B661E8">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2023.6</w:t>
            </w:r>
          </w:p>
        </w:tc>
        <w:tc>
          <w:tcPr>
            <w:tcW w:w="2638" w:type="dxa"/>
            <w:shd w:val="clear" w:color="auto" w:fill="auto"/>
            <w:vAlign w:val="center"/>
          </w:tcPr>
          <w:p w14:paraId="1C0E938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3017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23BD731E">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中国冲压技术装备二十强企业</w:t>
            </w:r>
          </w:p>
        </w:tc>
        <w:tc>
          <w:tcPr>
            <w:tcW w:w="1201" w:type="dxa"/>
            <w:shd w:val="clear" w:color="auto" w:fill="auto"/>
            <w:vAlign w:val="center"/>
          </w:tcPr>
          <w:p w14:paraId="34027AA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2023.7</w:t>
            </w:r>
          </w:p>
        </w:tc>
        <w:tc>
          <w:tcPr>
            <w:tcW w:w="2638" w:type="dxa"/>
            <w:shd w:val="clear" w:color="auto" w:fill="auto"/>
            <w:vAlign w:val="center"/>
          </w:tcPr>
          <w:p w14:paraId="1C7E3CFE">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中国锻压协会</w:t>
            </w:r>
          </w:p>
        </w:tc>
      </w:tr>
      <w:tr w14:paraId="6D63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75A1C942">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“科创中国”宁波新锐企业</w:t>
            </w:r>
          </w:p>
        </w:tc>
        <w:tc>
          <w:tcPr>
            <w:tcW w:w="1201" w:type="dxa"/>
            <w:shd w:val="clear" w:color="auto" w:fill="auto"/>
            <w:vAlign w:val="center"/>
          </w:tcPr>
          <w:p w14:paraId="2A9E779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2023.8</w:t>
            </w:r>
          </w:p>
        </w:tc>
        <w:tc>
          <w:tcPr>
            <w:tcW w:w="2638" w:type="dxa"/>
            <w:shd w:val="clear" w:color="auto" w:fill="auto"/>
            <w:vAlign w:val="center"/>
          </w:tcPr>
          <w:p w14:paraId="5672699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宁波市科学技术协会</w:t>
            </w:r>
          </w:p>
        </w:tc>
      </w:tr>
      <w:tr w14:paraId="6529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6B6D5A41">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机械工业科学技术奖（三等奖）—高安全防爆电池壳超精密智能压力机关键技术及产业化</w:t>
            </w:r>
          </w:p>
        </w:tc>
        <w:tc>
          <w:tcPr>
            <w:tcW w:w="1201" w:type="dxa"/>
            <w:shd w:val="clear" w:color="auto" w:fill="auto"/>
            <w:vAlign w:val="center"/>
          </w:tcPr>
          <w:p w14:paraId="3066C27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2023.10</w:t>
            </w:r>
          </w:p>
        </w:tc>
        <w:tc>
          <w:tcPr>
            <w:tcW w:w="2638" w:type="dxa"/>
            <w:shd w:val="clear" w:color="auto" w:fill="auto"/>
            <w:vAlign w:val="center"/>
          </w:tcPr>
          <w:p w14:paraId="7CABAC9E">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中国机械工业联合会</w:t>
            </w:r>
          </w:p>
        </w:tc>
      </w:tr>
      <w:tr w14:paraId="2E533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0D8CA5D0">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省级绿色工厂</w:t>
            </w:r>
          </w:p>
        </w:tc>
        <w:tc>
          <w:tcPr>
            <w:tcW w:w="1201" w:type="dxa"/>
            <w:shd w:val="clear" w:color="auto" w:fill="auto"/>
            <w:vAlign w:val="center"/>
          </w:tcPr>
          <w:p w14:paraId="4730D783">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2023.10</w:t>
            </w:r>
          </w:p>
        </w:tc>
        <w:tc>
          <w:tcPr>
            <w:tcW w:w="2638" w:type="dxa"/>
            <w:shd w:val="clear" w:color="auto" w:fill="auto"/>
            <w:vAlign w:val="center"/>
          </w:tcPr>
          <w:p w14:paraId="6C4A3E2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4931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22F63C75">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浙江省科技“小巨人”企业</w:t>
            </w:r>
          </w:p>
        </w:tc>
        <w:tc>
          <w:tcPr>
            <w:tcW w:w="1201" w:type="dxa"/>
            <w:shd w:val="clear" w:color="auto" w:fill="auto"/>
            <w:vAlign w:val="center"/>
          </w:tcPr>
          <w:p w14:paraId="110BF21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2023.10</w:t>
            </w:r>
          </w:p>
        </w:tc>
        <w:tc>
          <w:tcPr>
            <w:tcW w:w="2638" w:type="dxa"/>
            <w:shd w:val="clear" w:color="auto" w:fill="auto"/>
            <w:vAlign w:val="center"/>
          </w:tcPr>
          <w:p w14:paraId="4EC210A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浙江省科学技术厅</w:t>
            </w:r>
          </w:p>
        </w:tc>
      </w:tr>
      <w:tr w14:paraId="137D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2CE085C4">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锻压装备远程运维服务智能制造标准应用试点</w:t>
            </w:r>
          </w:p>
        </w:tc>
        <w:tc>
          <w:tcPr>
            <w:tcW w:w="1201" w:type="dxa"/>
            <w:shd w:val="clear" w:color="auto" w:fill="auto"/>
            <w:vAlign w:val="center"/>
          </w:tcPr>
          <w:p w14:paraId="0F3ED77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2023.12</w:t>
            </w:r>
          </w:p>
        </w:tc>
        <w:tc>
          <w:tcPr>
            <w:tcW w:w="2638" w:type="dxa"/>
            <w:shd w:val="clear" w:color="auto" w:fill="auto"/>
            <w:vAlign w:val="center"/>
          </w:tcPr>
          <w:p w14:paraId="72945068">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市场监督总局、工信部</w:t>
            </w:r>
          </w:p>
        </w:tc>
      </w:tr>
      <w:tr w14:paraId="731A5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68D4EDDD">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宁波市工人先锋号：浙江易锻重型机车间</w:t>
            </w:r>
          </w:p>
        </w:tc>
        <w:tc>
          <w:tcPr>
            <w:tcW w:w="1201" w:type="dxa"/>
            <w:vAlign w:val="center"/>
          </w:tcPr>
          <w:p w14:paraId="2722B37F">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2023.12</w:t>
            </w:r>
          </w:p>
        </w:tc>
        <w:tc>
          <w:tcPr>
            <w:tcW w:w="2638" w:type="dxa"/>
            <w:vAlign w:val="center"/>
          </w:tcPr>
          <w:p w14:paraId="7BB7BA6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宁波市总工会</w:t>
            </w:r>
          </w:p>
        </w:tc>
      </w:tr>
      <w:tr w14:paraId="74BC4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0A93034A">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“2023年度宁波市工业行业“平安企业”建设优秀单位</w:t>
            </w:r>
          </w:p>
        </w:tc>
        <w:tc>
          <w:tcPr>
            <w:tcW w:w="1201" w:type="dxa"/>
            <w:shd w:val="clear" w:color="auto" w:fill="auto"/>
            <w:vAlign w:val="center"/>
          </w:tcPr>
          <w:p w14:paraId="54809F8C">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2024.01</w:t>
            </w:r>
          </w:p>
        </w:tc>
        <w:tc>
          <w:tcPr>
            <w:tcW w:w="2638" w:type="dxa"/>
            <w:shd w:val="clear" w:color="auto" w:fill="auto"/>
            <w:vAlign w:val="center"/>
          </w:tcPr>
          <w:p w14:paraId="5110EEA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宁波市委建设平安宁波领导小组办公室、市经信局</w:t>
            </w:r>
          </w:p>
        </w:tc>
      </w:tr>
      <w:tr w14:paraId="192A0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3CE877EA">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宁波市第二批“幸福共同体领头雁企业”</w:t>
            </w:r>
          </w:p>
        </w:tc>
        <w:tc>
          <w:tcPr>
            <w:tcW w:w="1201" w:type="dxa"/>
            <w:shd w:val="clear" w:color="auto" w:fill="auto"/>
            <w:vAlign w:val="center"/>
          </w:tcPr>
          <w:p w14:paraId="0D50B24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2024.01</w:t>
            </w:r>
          </w:p>
        </w:tc>
        <w:tc>
          <w:tcPr>
            <w:tcW w:w="2638" w:type="dxa"/>
            <w:shd w:val="clear" w:color="auto" w:fill="auto"/>
            <w:vAlign w:val="center"/>
          </w:tcPr>
          <w:p w14:paraId="0D7EC267">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宁波市产业工人队伍建设改革工作联席会议办公室</w:t>
            </w:r>
          </w:p>
        </w:tc>
      </w:tr>
      <w:tr w14:paraId="3A934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5CB62F2A">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2019-2022市级专家工作站综合绩效评估等次为优秀</w:t>
            </w:r>
          </w:p>
        </w:tc>
        <w:tc>
          <w:tcPr>
            <w:tcW w:w="1201" w:type="dxa"/>
            <w:shd w:val="clear" w:color="auto" w:fill="auto"/>
            <w:vAlign w:val="center"/>
          </w:tcPr>
          <w:p w14:paraId="05ABE9A3">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2024.02</w:t>
            </w:r>
          </w:p>
        </w:tc>
        <w:tc>
          <w:tcPr>
            <w:tcW w:w="2638" w:type="dxa"/>
            <w:shd w:val="clear" w:color="auto" w:fill="auto"/>
            <w:vAlign w:val="center"/>
          </w:tcPr>
          <w:p w14:paraId="78479CD3">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宁波市人力资源和社会保障局</w:t>
            </w:r>
          </w:p>
        </w:tc>
      </w:tr>
      <w:tr w14:paraId="71589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40BC39C8">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梅碧舟技能大师工作室为优秀技能大师工作室</w:t>
            </w:r>
          </w:p>
        </w:tc>
        <w:tc>
          <w:tcPr>
            <w:tcW w:w="1201" w:type="dxa"/>
            <w:shd w:val="clear" w:color="auto" w:fill="auto"/>
            <w:vAlign w:val="center"/>
          </w:tcPr>
          <w:p w14:paraId="6F9FA18E">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2024.02</w:t>
            </w:r>
          </w:p>
        </w:tc>
        <w:tc>
          <w:tcPr>
            <w:tcW w:w="2638" w:type="dxa"/>
            <w:shd w:val="clear" w:color="auto" w:fill="auto"/>
            <w:vAlign w:val="center"/>
          </w:tcPr>
          <w:p w14:paraId="5B96A975">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宁波市人力资源和社会保障局</w:t>
            </w:r>
          </w:p>
        </w:tc>
      </w:tr>
      <w:tr w14:paraId="67CE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2A1E50C9">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2023年度宁波市自愿清洁生产审核验收合格企业</w:t>
            </w:r>
          </w:p>
        </w:tc>
        <w:tc>
          <w:tcPr>
            <w:tcW w:w="1201" w:type="dxa"/>
            <w:shd w:val="clear" w:color="auto" w:fill="auto"/>
            <w:vAlign w:val="center"/>
          </w:tcPr>
          <w:p w14:paraId="08E7673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eastAsia="zh-CN"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3</w:t>
            </w:r>
          </w:p>
        </w:tc>
        <w:tc>
          <w:tcPr>
            <w:tcW w:w="2638" w:type="dxa"/>
            <w:shd w:val="clear" w:color="auto" w:fill="auto"/>
            <w:vAlign w:val="center"/>
          </w:tcPr>
          <w:p w14:paraId="3A9116E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宁波市经济和信息化局</w:t>
            </w:r>
          </w:p>
        </w:tc>
      </w:tr>
      <w:tr w14:paraId="5B1B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516DA9AA">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批准易锻申请成立“全国锻压机械标准化技术委员会高速压力机工作组”（编号：SAC/TC220/WG16）</w:t>
            </w:r>
          </w:p>
        </w:tc>
        <w:tc>
          <w:tcPr>
            <w:tcW w:w="1201" w:type="dxa"/>
            <w:shd w:val="clear" w:color="auto" w:fill="auto"/>
            <w:vAlign w:val="center"/>
          </w:tcPr>
          <w:p w14:paraId="545D02D0">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3</w:t>
            </w:r>
          </w:p>
        </w:tc>
        <w:tc>
          <w:tcPr>
            <w:tcW w:w="2638" w:type="dxa"/>
            <w:shd w:val="clear" w:color="auto" w:fill="auto"/>
            <w:vAlign w:val="center"/>
          </w:tcPr>
          <w:p w14:paraId="688A1A2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全国锻压机械标准化技术委员会</w:t>
            </w:r>
          </w:p>
        </w:tc>
      </w:tr>
      <w:tr w14:paraId="63C5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4F486E43">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国家第八批制造业单项冠军企业</w:t>
            </w:r>
          </w:p>
        </w:tc>
        <w:tc>
          <w:tcPr>
            <w:tcW w:w="1201" w:type="dxa"/>
            <w:shd w:val="clear" w:color="auto" w:fill="auto"/>
            <w:vAlign w:val="center"/>
          </w:tcPr>
          <w:p w14:paraId="4D4167C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2024.04</w:t>
            </w:r>
          </w:p>
        </w:tc>
        <w:tc>
          <w:tcPr>
            <w:tcW w:w="2638" w:type="dxa"/>
            <w:shd w:val="clear" w:color="auto" w:fill="auto"/>
            <w:vAlign w:val="center"/>
          </w:tcPr>
          <w:p w14:paraId="1551939F">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工信部</w:t>
            </w:r>
          </w:p>
        </w:tc>
      </w:tr>
      <w:tr w14:paraId="17804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26658A7B">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浙江省标准创新型企业</w:t>
            </w:r>
          </w:p>
        </w:tc>
        <w:tc>
          <w:tcPr>
            <w:tcW w:w="1201" w:type="dxa"/>
            <w:shd w:val="clear" w:color="auto" w:fill="auto"/>
            <w:vAlign w:val="center"/>
          </w:tcPr>
          <w:p w14:paraId="6C6678E7">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2024.04</w:t>
            </w:r>
          </w:p>
        </w:tc>
        <w:tc>
          <w:tcPr>
            <w:tcW w:w="2638" w:type="dxa"/>
            <w:shd w:val="clear" w:color="auto" w:fill="auto"/>
            <w:vAlign w:val="center"/>
          </w:tcPr>
          <w:p w14:paraId="421B8BD8">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标准创新型企业工作机构</w:t>
            </w:r>
          </w:p>
        </w:tc>
      </w:tr>
      <w:tr w14:paraId="76DC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59D75D1D">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公司列入国家“博士后科研工作站”备案名单</w:t>
            </w:r>
          </w:p>
        </w:tc>
        <w:tc>
          <w:tcPr>
            <w:tcW w:w="1201" w:type="dxa"/>
            <w:shd w:val="clear" w:color="auto" w:fill="auto"/>
            <w:vAlign w:val="center"/>
          </w:tcPr>
          <w:p w14:paraId="00076D64">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2024.04</w:t>
            </w:r>
          </w:p>
        </w:tc>
        <w:tc>
          <w:tcPr>
            <w:tcW w:w="2638" w:type="dxa"/>
            <w:shd w:val="clear" w:color="auto" w:fill="auto"/>
            <w:vAlign w:val="center"/>
          </w:tcPr>
          <w:p w14:paraId="78F2003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人力资源和社会保障部、全国博士后管委会</w:t>
            </w:r>
          </w:p>
        </w:tc>
      </w:tr>
      <w:tr w14:paraId="22FA5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73A0C7D1">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公司产品“高精度强力钢架压力机APA-45”通过CE认证</w:t>
            </w:r>
          </w:p>
        </w:tc>
        <w:tc>
          <w:tcPr>
            <w:tcW w:w="1201" w:type="dxa"/>
            <w:shd w:val="clear" w:color="auto" w:fill="auto"/>
            <w:vAlign w:val="center"/>
          </w:tcPr>
          <w:p w14:paraId="0857094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5</w:t>
            </w:r>
          </w:p>
        </w:tc>
        <w:tc>
          <w:tcPr>
            <w:tcW w:w="2638" w:type="dxa"/>
            <w:shd w:val="clear" w:color="auto" w:fill="auto"/>
            <w:vAlign w:val="center"/>
          </w:tcPr>
          <w:p w14:paraId="6C39326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b w:val="0"/>
                <w:bCs w:val="0"/>
                <w:color w:val="000000"/>
                <w:spacing w:val="0"/>
                <w:w w:val="100"/>
                <w:kern w:val="0"/>
                <w:position w:val="0"/>
                <w:sz w:val="24"/>
                <w:szCs w:val="24"/>
                <w:vertAlign w:val="baseline"/>
                <w:lang w:val="en-US" w:eastAsia="zh-CN" w:bidi="ar"/>
              </w:rPr>
              <w:t>CCQS</w:t>
            </w:r>
          </w:p>
        </w:tc>
      </w:tr>
      <w:tr w14:paraId="38EC2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5010E1F8">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公司产品“APE-500闭式抗偏载框架式双点冲床”入选“浙江省优秀工业新产品”</w:t>
            </w:r>
          </w:p>
        </w:tc>
        <w:tc>
          <w:tcPr>
            <w:tcW w:w="1201" w:type="dxa"/>
            <w:shd w:val="clear" w:color="auto" w:fill="auto"/>
            <w:vAlign w:val="center"/>
          </w:tcPr>
          <w:p w14:paraId="5806C99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5</w:t>
            </w:r>
          </w:p>
        </w:tc>
        <w:tc>
          <w:tcPr>
            <w:tcW w:w="2638" w:type="dxa"/>
            <w:shd w:val="clear" w:color="auto" w:fill="auto"/>
            <w:vAlign w:val="center"/>
          </w:tcPr>
          <w:p w14:paraId="02F15EC7">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浙江省经济和信息化厅</w:t>
            </w:r>
          </w:p>
        </w:tc>
      </w:tr>
      <w:tr w14:paraId="2BC7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shd w:val="clear" w:color="auto" w:fill="auto"/>
            <w:vAlign w:val="center"/>
          </w:tcPr>
          <w:p w14:paraId="761AFFE8">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公司产品“闭式双曲柄精密钢架压力机APE-400”通过CE认证</w:t>
            </w:r>
          </w:p>
        </w:tc>
        <w:tc>
          <w:tcPr>
            <w:tcW w:w="1201" w:type="dxa"/>
            <w:shd w:val="clear" w:color="auto" w:fill="auto"/>
            <w:vAlign w:val="center"/>
          </w:tcPr>
          <w:p w14:paraId="2C9747D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6</w:t>
            </w:r>
          </w:p>
        </w:tc>
        <w:tc>
          <w:tcPr>
            <w:tcW w:w="2638" w:type="dxa"/>
            <w:shd w:val="clear" w:color="auto" w:fill="auto"/>
            <w:vAlign w:val="center"/>
          </w:tcPr>
          <w:p w14:paraId="3254D7E8">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b w:val="0"/>
                <w:bCs w:val="0"/>
                <w:color w:val="000000"/>
                <w:spacing w:val="0"/>
                <w:w w:val="100"/>
                <w:kern w:val="0"/>
                <w:position w:val="0"/>
                <w:sz w:val="24"/>
                <w:szCs w:val="24"/>
                <w:vertAlign w:val="baseline"/>
                <w:lang w:val="en-US" w:eastAsia="zh-CN" w:bidi="ar"/>
              </w:rPr>
              <w:t>CCQS</w:t>
            </w:r>
          </w:p>
        </w:tc>
      </w:tr>
      <w:tr w14:paraId="6D4B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4A3DA836">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公司产品“ACP-500型四点双驱动新能源电机定转子专用压力机”被认定为浙江省新产品</w:t>
            </w:r>
          </w:p>
        </w:tc>
        <w:tc>
          <w:tcPr>
            <w:tcW w:w="1201" w:type="dxa"/>
            <w:vAlign w:val="center"/>
          </w:tcPr>
          <w:p w14:paraId="02E2417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7</w:t>
            </w:r>
          </w:p>
        </w:tc>
        <w:tc>
          <w:tcPr>
            <w:tcW w:w="2638" w:type="dxa"/>
            <w:vAlign w:val="center"/>
          </w:tcPr>
          <w:p w14:paraId="5EE06C6F">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浙江省经济和信息化厅</w:t>
            </w:r>
          </w:p>
        </w:tc>
      </w:tr>
      <w:tr w14:paraId="3F16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43058854">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公司通过“2024年浙江省AAA级‘守合同重信用’企业”续报审核</w:t>
            </w:r>
          </w:p>
        </w:tc>
        <w:tc>
          <w:tcPr>
            <w:tcW w:w="1201" w:type="dxa"/>
            <w:vAlign w:val="center"/>
          </w:tcPr>
          <w:p w14:paraId="0A717CEA">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8</w:t>
            </w:r>
          </w:p>
        </w:tc>
        <w:tc>
          <w:tcPr>
            <w:tcW w:w="2638" w:type="dxa"/>
            <w:vAlign w:val="center"/>
          </w:tcPr>
          <w:p w14:paraId="240FEF1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浙江省市场监督管理局</w:t>
            </w:r>
          </w:p>
        </w:tc>
      </w:tr>
      <w:tr w14:paraId="34282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6193A1F2">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公司成为“宁波市开展工程系列中级职称自主评审”4家试点单位之一</w:t>
            </w:r>
          </w:p>
        </w:tc>
        <w:tc>
          <w:tcPr>
            <w:tcW w:w="1201" w:type="dxa"/>
            <w:vAlign w:val="center"/>
          </w:tcPr>
          <w:p w14:paraId="6BF3E24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9</w:t>
            </w:r>
          </w:p>
        </w:tc>
        <w:tc>
          <w:tcPr>
            <w:tcW w:w="2638" w:type="dxa"/>
            <w:vAlign w:val="center"/>
          </w:tcPr>
          <w:p w14:paraId="019A434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宁波市人力资源和社会保障局</w:t>
            </w:r>
          </w:p>
        </w:tc>
      </w:tr>
      <w:tr w14:paraId="44AA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62CC69D9">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公司主持修订的国家标准《闭式高速精密压力机  精度》（GB/T29548-2024）发布</w:t>
            </w:r>
          </w:p>
        </w:tc>
        <w:tc>
          <w:tcPr>
            <w:tcW w:w="1201" w:type="dxa"/>
            <w:vAlign w:val="center"/>
          </w:tcPr>
          <w:p w14:paraId="27742F7C">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9</w:t>
            </w:r>
          </w:p>
        </w:tc>
        <w:tc>
          <w:tcPr>
            <w:tcW w:w="2638" w:type="dxa"/>
            <w:vAlign w:val="center"/>
          </w:tcPr>
          <w:p w14:paraId="51DB3CE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国家市场监督总局、国家标准化管理委员会</w:t>
            </w:r>
          </w:p>
        </w:tc>
      </w:tr>
      <w:tr w14:paraId="1D51A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40E59679">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公司荣获2024年宁波市质量创新奖</w:t>
            </w:r>
          </w:p>
        </w:tc>
        <w:tc>
          <w:tcPr>
            <w:tcW w:w="1201" w:type="dxa"/>
            <w:vAlign w:val="center"/>
          </w:tcPr>
          <w:p w14:paraId="31479752">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2024.11</w:t>
            </w:r>
          </w:p>
        </w:tc>
        <w:tc>
          <w:tcPr>
            <w:tcW w:w="2638" w:type="dxa"/>
            <w:vAlign w:val="center"/>
          </w:tcPr>
          <w:p w14:paraId="28CB4AEF">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宁波市人民政府</w:t>
            </w:r>
          </w:p>
        </w:tc>
      </w:tr>
      <w:tr w14:paraId="29B80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41967220">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公司专利“一种曲柄压力机过载保护系统”（专利号：ZL202110358558.7）荣获宁波市专利创新大赛银奖</w:t>
            </w:r>
          </w:p>
        </w:tc>
        <w:tc>
          <w:tcPr>
            <w:tcW w:w="1201" w:type="dxa"/>
            <w:vAlign w:val="center"/>
          </w:tcPr>
          <w:p w14:paraId="2E30C9CB">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2024.11</w:t>
            </w:r>
          </w:p>
        </w:tc>
        <w:tc>
          <w:tcPr>
            <w:tcW w:w="2638" w:type="dxa"/>
            <w:vAlign w:val="center"/>
          </w:tcPr>
          <w:p w14:paraId="2664D22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宁波市市场监督局</w:t>
            </w:r>
          </w:p>
        </w:tc>
      </w:tr>
      <w:tr w14:paraId="03DEB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11E8B857">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公司项目“高性能薄壁空心构件局部加载柔性成形技术及应用”荣获浙江省技术发明奖二等奖</w:t>
            </w:r>
          </w:p>
        </w:tc>
        <w:tc>
          <w:tcPr>
            <w:tcW w:w="1201" w:type="dxa"/>
            <w:vAlign w:val="center"/>
          </w:tcPr>
          <w:p w14:paraId="6DCBB36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2024.11</w:t>
            </w:r>
          </w:p>
        </w:tc>
        <w:tc>
          <w:tcPr>
            <w:tcW w:w="2638" w:type="dxa"/>
            <w:vAlign w:val="center"/>
          </w:tcPr>
          <w:p w14:paraId="360F7DA5">
            <w:pPr>
              <w:pageBreakBefore w:val="0"/>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浙江省人民政府</w:t>
            </w:r>
          </w:p>
        </w:tc>
      </w:tr>
      <w:tr w14:paraId="31775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293766DF">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公司“智能数控整体框架式闭式双点压力机项目”荣获欧达杯“科创宁波·甬创未来”第四届科技创新大赛科技引领类优胜奖</w:t>
            </w:r>
          </w:p>
        </w:tc>
        <w:tc>
          <w:tcPr>
            <w:tcW w:w="1201" w:type="dxa"/>
            <w:vAlign w:val="center"/>
          </w:tcPr>
          <w:p w14:paraId="4419381C">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2024.11</w:t>
            </w:r>
          </w:p>
        </w:tc>
        <w:tc>
          <w:tcPr>
            <w:tcW w:w="2638" w:type="dxa"/>
            <w:vAlign w:val="center"/>
          </w:tcPr>
          <w:p w14:paraId="2B22BF3C">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宁波市科学技术协会、宁波市科技局、宁波市市场监督局</w:t>
            </w:r>
          </w:p>
        </w:tc>
      </w:tr>
      <w:tr w14:paraId="2ECCF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002630C2">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公司产品“智能数控整体框架式闭式双点压力机的研制及产业化”荣获浙江机械工业科学技术奖三等奖</w:t>
            </w:r>
          </w:p>
        </w:tc>
        <w:tc>
          <w:tcPr>
            <w:tcW w:w="1201" w:type="dxa"/>
            <w:vAlign w:val="center"/>
          </w:tcPr>
          <w:p w14:paraId="37761561">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2024.12</w:t>
            </w:r>
          </w:p>
        </w:tc>
        <w:tc>
          <w:tcPr>
            <w:tcW w:w="2638" w:type="dxa"/>
            <w:vAlign w:val="center"/>
          </w:tcPr>
          <w:p w14:paraId="4B5435FD">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浙江省机械工业联合会</w:t>
            </w:r>
          </w:p>
        </w:tc>
      </w:tr>
      <w:tr w14:paraId="60AE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5AE177CC">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公司院士工作站荣获宁波市优秀院士工作站</w:t>
            </w:r>
          </w:p>
        </w:tc>
        <w:tc>
          <w:tcPr>
            <w:tcW w:w="1201" w:type="dxa"/>
            <w:vAlign w:val="center"/>
          </w:tcPr>
          <w:p w14:paraId="46D184FA">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2024.12</w:t>
            </w:r>
          </w:p>
        </w:tc>
        <w:tc>
          <w:tcPr>
            <w:tcW w:w="2638" w:type="dxa"/>
            <w:vAlign w:val="center"/>
          </w:tcPr>
          <w:p w14:paraId="4801C2D5">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宁波市科学技术协会</w:t>
            </w:r>
          </w:p>
        </w:tc>
      </w:tr>
      <w:tr w14:paraId="43C81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429AE22D">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公司产品“AGL-125型对称肘节式超精密引线框架专用压力机”荣获国内首台套装备</w:t>
            </w:r>
          </w:p>
        </w:tc>
        <w:tc>
          <w:tcPr>
            <w:tcW w:w="1201" w:type="dxa"/>
            <w:vAlign w:val="center"/>
          </w:tcPr>
          <w:p w14:paraId="06CFB00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2024.12</w:t>
            </w:r>
          </w:p>
        </w:tc>
        <w:tc>
          <w:tcPr>
            <w:tcW w:w="2638" w:type="dxa"/>
            <w:vAlign w:val="center"/>
          </w:tcPr>
          <w:p w14:paraId="406E7785">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浙江省经济和信息化厅</w:t>
            </w:r>
          </w:p>
        </w:tc>
      </w:tr>
      <w:tr w14:paraId="21697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8" w:type="dxa"/>
            <w:vAlign w:val="center"/>
          </w:tcPr>
          <w:p w14:paraId="4F9A64DC">
            <w:pPr>
              <w:pageBreakBefore w:val="0"/>
              <w:widowControl/>
              <w:kinsoku/>
              <w:overflowPunct/>
              <w:topLinePunct w:val="0"/>
              <w:bidi w:val="0"/>
              <w:snapToGrid w:val="0"/>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公司被确认为行业数字化服务商</w:t>
            </w:r>
          </w:p>
        </w:tc>
        <w:tc>
          <w:tcPr>
            <w:tcW w:w="1201" w:type="dxa"/>
            <w:vAlign w:val="center"/>
          </w:tcPr>
          <w:p w14:paraId="4BD79709">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2024.12</w:t>
            </w:r>
          </w:p>
        </w:tc>
        <w:tc>
          <w:tcPr>
            <w:tcW w:w="2638" w:type="dxa"/>
            <w:vAlign w:val="center"/>
          </w:tcPr>
          <w:p w14:paraId="6C683E96">
            <w:pPr>
              <w:pageBreakBefore w:val="0"/>
              <w:widowControl/>
              <w:kinsoku/>
              <w:overflowPunct/>
              <w:topLinePunct w:val="0"/>
              <w:bidi w:val="0"/>
              <w:snapToGrid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浙江省经济和信息化厅</w:t>
            </w:r>
          </w:p>
        </w:tc>
      </w:tr>
    </w:tbl>
    <w:p w14:paraId="02848EDF">
      <w:pPr>
        <w:pStyle w:val="14"/>
        <w:keepNext w:val="0"/>
        <w:keepLines w:val="0"/>
        <w:widowControl/>
        <w:suppressLineNumbers w:val="0"/>
        <w:jc w:val="center"/>
        <w:rPr>
          <w:rFonts w:hint="eastAsia" w:ascii="仿宋" w:hAnsi="仿宋" w:eastAsia="仿宋" w:cs="仿宋"/>
          <w:sz w:val="28"/>
          <w:szCs w:val="28"/>
        </w:rPr>
      </w:pPr>
      <w:r>
        <w:rPr>
          <w:rFonts w:hint="eastAsia" w:ascii="仿宋" w:hAnsi="仿宋" w:eastAsia="仿宋" w:cs="仿宋"/>
          <w:sz w:val="28"/>
          <w:szCs w:val="28"/>
        </w:rPr>
        <w:t>2024年全部授权专利清单</w:t>
      </w:r>
    </w:p>
    <w:tbl>
      <w:tblPr>
        <w:tblStyle w:val="17"/>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2041"/>
        <w:gridCol w:w="1262"/>
        <w:gridCol w:w="1525"/>
        <w:gridCol w:w="1575"/>
        <w:gridCol w:w="2243"/>
      </w:tblGrid>
      <w:tr w14:paraId="04B1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vAlign w:val="center"/>
          </w:tcPr>
          <w:p w14:paraId="018CF47C">
            <w:pPr>
              <w:pStyle w:val="14"/>
              <w:keepNext w:val="0"/>
              <w:keepLines w:val="0"/>
              <w:widowControl/>
              <w:suppressLineNumbers w:val="0"/>
              <w:jc w:val="center"/>
              <w:rPr>
                <w:rFonts w:hint="eastAsia" w:ascii="仿宋" w:hAnsi="仿宋" w:eastAsia="仿宋" w:cs="仿宋"/>
                <w:sz w:val="24"/>
                <w:szCs w:val="24"/>
                <w:vertAlign w:val="baseline"/>
              </w:rPr>
            </w:pPr>
            <w:r>
              <w:rPr>
                <w:rFonts w:hint="eastAsia" w:ascii="仿宋" w:hAnsi="仿宋" w:eastAsia="仿宋" w:cs="仿宋"/>
                <w:sz w:val="24"/>
                <w:szCs w:val="24"/>
              </w:rPr>
              <w:t>序号</w:t>
            </w:r>
          </w:p>
        </w:tc>
        <w:tc>
          <w:tcPr>
            <w:tcW w:w="2041" w:type="dxa"/>
            <w:shd w:val="clear" w:color="auto" w:fill="auto"/>
            <w:vAlign w:val="center"/>
          </w:tcPr>
          <w:p w14:paraId="188BE1D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授权项目名称</w:t>
            </w:r>
          </w:p>
        </w:tc>
        <w:tc>
          <w:tcPr>
            <w:tcW w:w="1262" w:type="dxa"/>
            <w:shd w:val="clear" w:color="auto" w:fill="auto"/>
            <w:vAlign w:val="center"/>
          </w:tcPr>
          <w:p w14:paraId="3E42E61E">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类别</w:t>
            </w:r>
          </w:p>
        </w:tc>
        <w:tc>
          <w:tcPr>
            <w:tcW w:w="1525" w:type="dxa"/>
            <w:shd w:val="clear" w:color="auto" w:fill="auto"/>
            <w:vAlign w:val="center"/>
          </w:tcPr>
          <w:p w14:paraId="3352E82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申请日期</w:t>
            </w:r>
          </w:p>
        </w:tc>
        <w:tc>
          <w:tcPr>
            <w:tcW w:w="1575" w:type="dxa"/>
            <w:shd w:val="clear" w:color="auto" w:fill="auto"/>
            <w:vAlign w:val="center"/>
          </w:tcPr>
          <w:p w14:paraId="3230366E">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授权日期</w:t>
            </w:r>
          </w:p>
        </w:tc>
        <w:tc>
          <w:tcPr>
            <w:tcW w:w="2243" w:type="dxa"/>
            <w:shd w:val="clear" w:color="auto" w:fill="auto"/>
            <w:vAlign w:val="center"/>
          </w:tcPr>
          <w:p w14:paraId="5913F06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专利号</w:t>
            </w:r>
          </w:p>
        </w:tc>
      </w:tr>
      <w:tr w14:paraId="0C402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576FF487">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2041" w:type="dxa"/>
            <w:shd w:val="clear" w:color="auto" w:fill="auto"/>
            <w:vAlign w:val="center"/>
          </w:tcPr>
          <w:p w14:paraId="014395A3">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一种自动化冲压作业系统</w:t>
            </w:r>
          </w:p>
        </w:tc>
        <w:tc>
          <w:tcPr>
            <w:tcW w:w="1262" w:type="dxa"/>
            <w:shd w:val="clear" w:color="auto" w:fill="auto"/>
            <w:vAlign w:val="center"/>
          </w:tcPr>
          <w:p w14:paraId="43B8CC9F">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72F8D1CA">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2023/10/17</w:t>
            </w:r>
          </w:p>
        </w:tc>
        <w:tc>
          <w:tcPr>
            <w:tcW w:w="1575" w:type="dxa"/>
            <w:shd w:val="clear" w:color="auto" w:fill="auto"/>
            <w:vAlign w:val="center"/>
          </w:tcPr>
          <w:p w14:paraId="76DF32E2">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2024/01/09</w:t>
            </w:r>
          </w:p>
        </w:tc>
        <w:tc>
          <w:tcPr>
            <w:tcW w:w="2243" w:type="dxa"/>
            <w:shd w:val="clear" w:color="auto" w:fill="auto"/>
            <w:vAlign w:val="center"/>
          </w:tcPr>
          <w:p w14:paraId="34CAEEBE">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ZL202311337919.5</w:t>
            </w:r>
          </w:p>
        </w:tc>
      </w:tr>
      <w:tr w14:paraId="7E121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1E9B0E5C">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w:t>
            </w:r>
          </w:p>
        </w:tc>
        <w:tc>
          <w:tcPr>
            <w:tcW w:w="2041" w:type="dxa"/>
            <w:shd w:val="clear" w:color="auto" w:fill="auto"/>
            <w:vAlign w:val="center"/>
          </w:tcPr>
          <w:p w14:paraId="73E7A865">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一种具有密封缓冲功能的囊式拉伸装置</w:t>
            </w:r>
          </w:p>
        </w:tc>
        <w:tc>
          <w:tcPr>
            <w:tcW w:w="1262" w:type="dxa"/>
            <w:shd w:val="clear" w:color="auto" w:fill="auto"/>
            <w:vAlign w:val="center"/>
          </w:tcPr>
          <w:p w14:paraId="616E861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66C7C234">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2018/04/18</w:t>
            </w:r>
          </w:p>
        </w:tc>
        <w:tc>
          <w:tcPr>
            <w:tcW w:w="1575" w:type="dxa"/>
            <w:shd w:val="clear" w:color="auto" w:fill="auto"/>
            <w:vAlign w:val="center"/>
          </w:tcPr>
          <w:p w14:paraId="37097B99">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2024/01/25</w:t>
            </w:r>
          </w:p>
        </w:tc>
        <w:tc>
          <w:tcPr>
            <w:tcW w:w="2243" w:type="dxa"/>
            <w:shd w:val="clear" w:color="auto" w:fill="auto"/>
            <w:vAlign w:val="center"/>
          </w:tcPr>
          <w:p w14:paraId="2A7FF2D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ZL201810399357.X</w:t>
            </w:r>
          </w:p>
        </w:tc>
      </w:tr>
      <w:tr w14:paraId="5EDE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E54F51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3</w:t>
            </w:r>
          </w:p>
        </w:tc>
        <w:tc>
          <w:tcPr>
            <w:tcW w:w="2041" w:type="dxa"/>
            <w:shd w:val="clear" w:color="auto" w:fill="auto"/>
            <w:vAlign w:val="center"/>
          </w:tcPr>
          <w:p w14:paraId="4B3F3BB6">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一种易调平的冲压设备工作台及冲压设备</w:t>
            </w:r>
          </w:p>
        </w:tc>
        <w:tc>
          <w:tcPr>
            <w:tcW w:w="1262" w:type="dxa"/>
            <w:shd w:val="clear" w:color="auto" w:fill="auto"/>
            <w:vAlign w:val="center"/>
          </w:tcPr>
          <w:p w14:paraId="73DC0CD3">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1A6B9487">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2024/01/08</w:t>
            </w:r>
          </w:p>
        </w:tc>
        <w:tc>
          <w:tcPr>
            <w:tcW w:w="1575" w:type="dxa"/>
            <w:shd w:val="clear" w:color="auto" w:fill="auto"/>
            <w:vAlign w:val="center"/>
          </w:tcPr>
          <w:p w14:paraId="4EA02290">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2024/03/22</w:t>
            </w:r>
          </w:p>
        </w:tc>
        <w:tc>
          <w:tcPr>
            <w:tcW w:w="2243" w:type="dxa"/>
            <w:shd w:val="clear" w:color="auto" w:fill="auto"/>
            <w:vAlign w:val="center"/>
          </w:tcPr>
          <w:p w14:paraId="7A61C1E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ZL202410021617.5 </w:t>
            </w:r>
          </w:p>
        </w:tc>
      </w:tr>
      <w:tr w14:paraId="5150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22177DF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4</w:t>
            </w:r>
          </w:p>
        </w:tc>
        <w:tc>
          <w:tcPr>
            <w:tcW w:w="2041" w:type="dxa"/>
            <w:shd w:val="clear" w:color="auto" w:fill="auto"/>
            <w:vAlign w:val="center"/>
          </w:tcPr>
          <w:p w14:paraId="3BC865C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一种径向制动的飞轮制动器</w:t>
            </w:r>
          </w:p>
        </w:tc>
        <w:tc>
          <w:tcPr>
            <w:tcW w:w="1262" w:type="dxa"/>
            <w:shd w:val="clear" w:color="auto" w:fill="auto"/>
            <w:vAlign w:val="center"/>
          </w:tcPr>
          <w:p w14:paraId="4643D98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2EA907A7">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2018/04/03</w:t>
            </w:r>
          </w:p>
        </w:tc>
        <w:tc>
          <w:tcPr>
            <w:tcW w:w="1575" w:type="dxa"/>
            <w:shd w:val="clear" w:color="auto" w:fill="auto"/>
            <w:vAlign w:val="center"/>
          </w:tcPr>
          <w:p w14:paraId="200BCC6E">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2024/05/17</w:t>
            </w:r>
          </w:p>
        </w:tc>
        <w:tc>
          <w:tcPr>
            <w:tcW w:w="2243" w:type="dxa"/>
            <w:shd w:val="clear" w:color="auto" w:fill="auto"/>
            <w:vAlign w:val="center"/>
          </w:tcPr>
          <w:p w14:paraId="14B971E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ZL201810288251.2</w:t>
            </w:r>
          </w:p>
        </w:tc>
      </w:tr>
      <w:tr w14:paraId="38E46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8CD96E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5</w:t>
            </w:r>
          </w:p>
        </w:tc>
        <w:tc>
          <w:tcPr>
            <w:tcW w:w="2041" w:type="dxa"/>
            <w:shd w:val="clear" w:color="auto" w:fill="auto"/>
            <w:vAlign w:val="center"/>
          </w:tcPr>
          <w:p w14:paraId="6E550C3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一种过负荷连接接头机构</w:t>
            </w:r>
          </w:p>
        </w:tc>
        <w:tc>
          <w:tcPr>
            <w:tcW w:w="1262" w:type="dxa"/>
            <w:shd w:val="clear" w:color="auto" w:fill="auto"/>
            <w:vAlign w:val="center"/>
          </w:tcPr>
          <w:p w14:paraId="4CF4C3F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7E42056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2018/04/28</w:t>
            </w:r>
          </w:p>
        </w:tc>
        <w:tc>
          <w:tcPr>
            <w:tcW w:w="1575" w:type="dxa"/>
            <w:shd w:val="clear" w:color="auto" w:fill="auto"/>
            <w:vAlign w:val="center"/>
          </w:tcPr>
          <w:p w14:paraId="4F610E23">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2024/07/26</w:t>
            </w:r>
          </w:p>
        </w:tc>
        <w:tc>
          <w:tcPr>
            <w:tcW w:w="2243" w:type="dxa"/>
            <w:shd w:val="clear" w:color="auto" w:fill="auto"/>
            <w:vAlign w:val="center"/>
          </w:tcPr>
          <w:p w14:paraId="5FF34CBC">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ZL201810400801.5</w:t>
            </w:r>
          </w:p>
        </w:tc>
      </w:tr>
      <w:tr w14:paraId="41C95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7950C14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6</w:t>
            </w:r>
          </w:p>
        </w:tc>
        <w:tc>
          <w:tcPr>
            <w:tcW w:w="2041" w:type="dxa"/>
            <w:shd w:val="clear" w:color="auto" w:fill="auto"/>
            <w:vAlign w:val="center"/>
          </w:tcPr>
          <w:p w14:paraId="41DC79D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一种金属冲压模具的冲头组件</w:t>
            </w:r>
          </w:p>
        </w:tc>
        <w:tc>
          <w:tcPr>
            <w:tcW w:w="1262" w:type="dxa"/>
            <w:shd w:val="clear" w:color="auto" w:fill="auto"/>
            <w:vAlign w:val="center"/>
          </w:tcPr>
          <w:p w14:paraId="17DDAB4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4442E27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2024/05/16</w:t>
            </w:r>
          </w:p>
        </w:tc>
        <w:tc>
          <w:tcPr>
            <w:tcW w:w="1575" w:type="dxa"/>
            <w:shd w:val="clear" w:color="auto" w:fill="auto"/>
            <w:vAlign w:val="center"/>
          </w:tcPr>
          <w:p w14:paraId="53E9D443">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2024/07/26</w:t>
            </w:r>
          </w:p>
        </w:tc>
        <w:tc>
          <w:tcPr>
            <w:tcW w:w="2243" w:type="dxa"/>
            <w:shd w:val="clear" w:color="auto" w:fill="auto"/>
            <w:vAlign w:val="center"/>
          </w:tcPr>
          <w:p w14:paraId="7356CE6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ZL202410607742.4</w:t>
            </w:r>
          </w:p>
        </w:tc>
      </w:tr>
      <w:tr w14:paraId="2C12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7C045ED4">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7</w:t>
            </w:r>
          </w:p>
        </w:tc>
        <w:tc>
          <w:tcPr>
            <w:tcW w:w="2041" w:type="dxa"/>
            <w:shd w:val="clear" w:color="auto" w:fill="auto"/>
            <w:vAlign w:val="center"/>
          </w:tcPr>
          <w:p w14:paraId="76061BC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一种金属板件的多步冲压装置</w:t>
            </w:r>
          </w:p>
        </w:tc>
        <w:tc>
          <w:tcPr>
            <w:tcW w:w="1262" w:type="dxa"/>
            <w:shd w:val="clear" w:color="auto" w:fill="auto"/>
            <w:vAlign w:val="center"/>
          </w:tcPr>
          <w:p w14:paraId="1FFD809C">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48F0ED53">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2024/04/26</w:t>
            </w:r>
          </w:p>
        </w:tc>
        <w:tc>
          <w:tcPr>
            <w:tcW w:w="1575" w:type="dxa"/>
            <w:shd w:val="clear" w:color="auto" w:fill="auto"/>
            <w:vAlign w:val="center"/>
          </w:tcPr>
          <w:p w14:paraId="243768EC">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2024/07/23</w:t>
            </w:r>
          </w:p>
        </w:tc>
        <w:tc>
          <w:tcPr>
            <w:tcW w:w="2243" w:type="dxa"/>
            <w:shd w:val="clear" w:color="auto" w:fill="auto"/>
            <w:vAlign w:val="center"/>
          </w:tcPr>
          <w:p w14:paraId="03358832">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ZL202410508538.7</w:t>
            </w:r>
          </w:p>
        </w:tc>
      </w:tr>
      <w:tr w14:paraId="081AB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16B2430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8</w:t>
            </w:r>
          </w:p>
        </w:tc>
        <w:tc>
          <w:tcPr>
            <w:tcW w:w="2041" w:type="dxa"/>
            <w:shd w:val="clear" w:color="auto" w:fill="auto"/>
            <w:vAlign w:val="center"/>
          </w:tcPr>
          <w:p w14:paraId="7C1E5914">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一种快换式高速冲压切换模块</w:t>
            </w:r>
          </w:p>
        </w:tc>
        <w:tc>
          <w:tcPr>
            <w:tcW w:w="1262" w:type="dxa"/>
            <w:shd w:val="clear" w:color="auto" w:fill="auto"/>
            <w:vAlign w:val="center"/>
          </w:tcPr>
          <w:p w14:paraId="43F268A5">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31905F8E">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2022/08/30</w:t>
            </w:r>
          </w:p>
        </w:tc>
        <w:tc>
          <w:tcPr>
            <w:tcW w:w="1575" w:type="dxa"/>
            <w:shd w:val="clear" w:color="auto" w:fill="auto"/>
            <w:vAlign w:val="center"/>
          </w:tcPr>
          <w:p w14:paraId="729E31E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2024/08/23</w:t>
            </w:r>
          </w:p>
        </w:tc>
        <w:tc>
          <w:tcPr>
            <w:tcW w:w="2243" w:type="dxa"/>
            <w:shd w:val="clear" w:color="auto" w:fill="auto"/>
            <w:vAlign w:val="center"/>
          </w:tcPr>
          <w:p w14:paraId="228F7CE6">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ZL202211046375.2</w:t>
            </w:r>
          </w:p>
        </w:tc>
      </w:tr>
      <w:tr w14:paraId="67022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211FC09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9</w:t>
            </w:r>
          </w:p>
        </w:tc>
        <w:tc>
          <w:tcPr>
            <w:tcW w:w="2041" w:type="dxa"/>
            <w:shd w:val="clear" w:color="auto" w:fill="auto"/>
            <w:vAlign w:val="center"/>
          </w:tcPr>
          <w:p w14:paraId="48B6A254">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一种循环冷却分体离合器</w:t>
            </w:r>
          </w:p>
        </w:tc>
        <w:tc>
          <w:tcPr>
            <w:tcW w:w="1262" w:type="dxa"/>
            <w:shd w:val="clear" w:color="auto" w:fill="auto"/>
            <w:vAlign w:val="center"/>
          </w:tcPr>
          <w:p w14:paraId="2CFF1D92">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4F4B350E">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2019/03/06</w:t>
            </w:r>
          </w:p>
        </w:tc>
        <w:tc>
          <w:tcPr>
            <w:tcW w:w="1575" w:type="dxa"/>
            <w:shd w:val="clear" w:color="auto" w:fill="auto"/>
            <w:vAlign w:val="center"/>
          </w:tcPr>
          <w:p w14:paraId="43A04883">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2024/10/09</w:t>
            </w:r>
          </w:p>
        </w:tc>
        <w:tc>
          <w:tcPr>
            <w:tcW w:w="2243" w:type="dxa"/>
            <w:shd w:val="clear" w:color="auto" w:fill="auto"/>
            <w:vAlign w:val="center"/>
          </w:tcPr>
          <w:p w14:paraId="41D4B4D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ZL201910167456.X</w:t>
            </w:r>
          </w:p>
        </w:tc>
      </w:tr>
      <w:tr w14:paraId="125B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783D743C">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10</w:t>
            </w:r>
          </w:p>
        </w:tc>
        <w:tc>
          <w:tcPr>
            <w:tcW w:w="2041" w:type="dxa"/>
            <w:shd w:val="clear" w:color="auto" w:fill="auto"/>
            <w:vAlign w:val="center"/>
          </w:tcPr>
          <w:p w14:paraId="0281412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一种自动化冲压作业系统</w:t>
            </w:r>
          </w:p>
        </w:tc>
        <w:tc>
          <w:tcPr>
            <w:tcW w:w="1262" w:type="dxa"/>
            <w:shd w:val="clear" w:color="auto" w:fill="auto"/>
            <w:vAlign w:val="center"/>
          </w:tcPr>
          <w:p w14:paraId="71D717A4">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5B514426">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2023/10/17</w:t>
            </w:r>
          </w:p>
        </w:tc>
        <w:tc>
          <w:tcPr>
            <w:tcW w:w="1575" w:type="dxa"/>
            <w:shd w:val="clear" w:color="auto" w:fill="auto"/>
            <w:vAlign w:val="center"/>
          </w:tcPr>
          <w:p w14:paraId="2439417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2024/01/09</w:t>
            </w:r>
          </w:p>
        </w:tc>
        <w:tc>
          <w:tcPr>
            <w:tcW w:w="2243" w:type="dxa"/>
            <w:shd w:val="clear" w:color="auto" w:fill="auto"/>
            <w:vAlign w:val="center"/>
          </w:tcPr>
          <w:p w14:paraId="301BAD4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ZL202311337919.5</w:t>
            </w:r>
          </w:p>
        </w:tc>
      </w:tr>
      <w:tr w14:paraId="7D90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4C917A7">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11</w:t>
            </w:r>
          </w:p>
        </w:tc>
        <w:tc>
          <w:tcPr>
            <w:tcW w:w="2041" w:type="dxa"/>
            <w:shd w:val="clear" w:color="auto" w:fill="auto"/>
            <w:vAlign w:val="center"/>
          </w:tcPr>
          <w:p w14:paraId="66ECB67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一种具有密封缓冲功能的囊式拉伸装置</w:t>
            </w:r>
          </w:p>
        </w:tc>
        <w:tc>
          <w:tcPr>
            <w:tcW w:w="1262" w:type="dxa"/>
            <w:shd w:val="clear" w:color="auto" w:fill="auto"/>
            <w:vAlign w:val="center"/>
          </w:tcPr>
          <w:p w14:paraId="1929C0F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525" w:type="dxa"/>
            <w:shd w:val="clear" w:color="auto" w:fill="auto"/>
            <w:vAlign w:val="center"/>
          </w:tcPr>
          <w:p w14:paraId="1D71A5F2">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2018/04/18</w:t>
            </w:r>
          </w:p>
        </w:tc>
        <w:tc>
          <w:tcPr>
            <w:tcW w:w="1575" w:type="dxa"/>
            <w:shd w:val="clear" w:color="auto" w:fill="auto"/>
            <w:vAlign w:val="center"/>
          </w:tcPr>
          <w:p w14:paraId="224276F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2024/01/25</w:t>
            </w:r>
          </w:p>
        </w:tc>
        <w:tc>
          <w:tcPr>
            <w:tcW w:w="2243" w:type="dxa"/>
            <w:shd w:val="clear" w:color="auto" w:fill="auto"/>
            <w:vAlign w:val="center"/>
          </w:tcPr>
          <w:p w14:paraId="13E50A77">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ZL201810399357.X</w:t>
            </w:r>
          </w:p>
        </w:tc>
      </w:tr>
      <w:tr w14:paraId="5289A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3CB0E5C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12</w:t>
            </w:r>
          </w:p>
        </w:tc>
        <w:tc>
          <w:tcPr>
            <w:tcW w:w="2041" w:type="dxa"/>
            <w:shd w:val="clear" w:color="auto" w:fill="auto"/>
            <w:vAlign w:val="center"/>
          </w:tcPr>
          <w:p w14:paraId="0331045E">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一种安全防护装置及冲床</w:t>
            </w:r>
          </w:p>
        </w:tc>
        <w:tc>
          <w:tcPr>
            <w:tcW w:w="1262" w:type="dxa"/>
            <w:shd w:val="clear" w:color="auto" w:fill="auto"/>
            <w:vAlign w:val="center"/>
          </w:tcPr>
          <w:p w14:paraId="09C90496">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525" w:type="dxa"/>
            <w:shd w:val="clear" w:color="auto" w:fill="auto"/>
            <w:vAlign w:val="center"/>
          </w:tcPr>
          <w:p w14:paraId="3B54B1E5">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2024/01/05</w:t>
            </w:r>
          </w:p>
        </w:tc>
        <w:tc>
          <w:tcPr>
            <w:tcW w:w="1575" w:type="dxa"/>
            <w:shd w:val="clear" w:color="auto" w:fill="auto"/>
            <w:vAlign w:val="center"/>
          </w:tcPr>
          <w:p w14:paraId="621E227F">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2024/02/09</w:t>
            </w:r>
          </w:p>
        </w:tc>
        <w:tc>
          <w:tcPr>
            <w:tcW w:w="2243" w:type="dxa"/>
            <w:shd w:val="clear" w:color="auto" w:fill="auto"/>
            <w:vAlign w:val="center"/>
          </w:tcPr>
          <w:p w14:paraId="2DEC7AFE">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ZL202420022868.0</w:t>
            </w:r>
          </w:p>
        </w:tc>
      </w:tr>
      <w:tr w14:paraId="1DC1E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33B7D09F">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13</w:t>
            </w:r>
          </w:p>
        </w:tc>
        <w:tc>
          <w:tcPr>
            <w:tcW w:w="2041" w:type="dxa"/>
            <w:shd w:val="clear" w:color="auto" w:fill="auto"/>
            <w:vAlign w:val="center"/>
          </w:tcPr>
          <w:p w14:paraId="63CF35A0">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一种冲压件接料及转运装置</w:t>
            </w:r>
          </w:p>
        </w:tc>
        <w:tc>
          <w:tcPr>
            <w:tcW w:w="1262" w:type="dxa"/>
            <w:shd w:val="clear" w:color="auto" w:fill="auto"/>
            <w:vAlign w:val="center"/>
          </w:tcPr>
          <w:p w14:paraId="178FE1FF">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525" w:type="dxa"/>
            <w:shd w:val="clear" w:color="auto" w:fill="auto"/>
            <w:vAlign w:val="center"/>
          </w:tcPr>
          <w:p w14:paraId="6D545F14">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2024/01/08</w:t>
            </w:r>
          </w:p>
        </w:tc>
        <w:tc>
          <w:tcPr>
            <w:tcW w:w="1575" w:type="dxa"/>
            <w:shd w:val="clear" w:color="auto" w:fill="auto"/>
            <w:vAlign w:val="center"/>
          </w:tcPr>
          <w:p w14:paraId="7D4D664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2024/02/09</w:t>
            </w:r>
          </w:p>
        </w:tc>
        <w:tc>
          <w:tcPr>
            <w:tcW w:w="2243" w:type="dxa"/>
            <w:shd w:val="clear" w:color="auto" w:fill="auto"/>
            <w:vAlign w:val="center"/>
          </w:tcPr>
          <w:p w14:paraId="786695D5">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ZL202420033376.1</w:t>
            </w:r>
          </w:p>
        </w:tc>
      </w:tr>
      <w:tr w14:paraId="62D3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61974A2">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14</w:t>
            </w:r>
          </w:p>
        </w:tc>
        <w:tc>
          <w:tcPr>
            <w:tcW w:w="2041" w:type="dxa"/>
            <w:shd w:val="clear" w:color="auto" w:fill="auto"/>
            <w:vAlign w:val="center"/>
          </w:tcPr>
          <w:p w14:paraId="57C527F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一种冲压模具的快拆机构</w:t>
            </w:r>
          </w:p>
        </w:tc>
        <w:tc>
          <w:tcPr>
            <w:tcW w:w="1262" w:type="dxa"/>
            <w:shd w:val="clear" w:color="auto" w:fill="auto"/>
            <w:vAlign w:val="center"/>
          </w:tcPr>
          <w:p w14:paraId="2E03B7E7">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525" w:type="dxa"/>
            <w:shd w:val="clear" w:color="auto" w:fill="auto"/>
            <w:vAlign w:val="center"/>
          </w:tcPr>
          <w:p w14:paraId="76C77F50">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2024/01/05</w:t>
            </w:r>
          </w:p>
        </w:tc>
        <w:tc>
          <w:tcPr>
            <w:tcW w:w="1575" w:type="dxa"/>
            <w:shd w:val="clear" w:color="auto" w:fill="auto"/>
            <w:vAlign w:val="center"/>
          </w:tcPr>
          <w:p w14:paraId="71AB086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2024/02/20</w:t>
            </w:r>
          </w:p>
        </w:tc>
        <w:tc>
          <w:tcPr>
            <w:tcW w:w="2243" w:type="dxa"/>
            <w:shd w:val="clear" w:color="auto" w:fill="auto"/>
            <w:vAlign w:val="center"/>
          </w:tcPr>
          <w:p w14:paraId="3DD5D520">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ZL202420026437.1</w:t>
            </w:r>
          </w:p>
        </w:tc>
      </w:tr>
      <w:tr w14:paraId="3356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62593DC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15</w:t>
            </w:r>
          </w:p>
        </w:tc>
        <w:tc>
          <w:tcPr>
            <w:tcW w:w="2041" w:type="dxa"/>
            <w:shd w:val="clear" w:color="auto" w:fill="auto"/>
            <w:vAlign w:val="center"/>
          </w:tcPr>
          <w:p w14:paraId="7AAEEFF5">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一种降噪压力机</w:t>
            </w:r>
          </w:p>
        </w:tc>
        <w:tc>
          <w:tcPr>
            <w:tcW w:w="1262" w:type="dxa"/>
            <w:shd w:val="clear" w:color="auto" w:fill="auto"/>
            <w:vAlign w:val="center"/>
          </w:tcPr>
          <w:p w14:paraId="6461315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525" w:type="dxa"/>
            <w:shd w:val="clear" w:color="auto" w:fill="auto"/>
            <w:vAlign w:val="center"/>
          </w:tcPr>
          <w:p w14:paraId="52F1A748">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2023/09/13</w:t>
            </w:r>
          </w:p>
        </w:tc>
        <w:tc>
          <w:tcPr>
            <w:tcW w:w="1575" w:type="dxa"/>
            <w:shd w:val="clear" w:color="auto" w:fill="auto"/>
            <w:vAlign w:val="center"/>
          </w:tcPr>
          <w:p w14:paraId="51C1CFBC">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2024/06/07</w:t>
            </w:r>
          </w:p>
        </w:tc>
        <w:tc>
          <w:tcPr>
            <w:tcW w:w="2243" w:type="dxa"/>
            <w:shd w:val="clear" w:color="auto" w:fill="auto"/>
            <w:vAlign w:val="center"/>
          </w:tcPr>
          <w:p w14:paraId="3D4A7AB4">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ZL202322490725.0</w:t>
            </w:r>
          </w:p>
        </w:tc>
      </w:tr>
      <w:tr w14:paraId="3A723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588BF6C0">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16</w:t>
            </w:r>
          </w:p>
        </w:tc>
        <w:tc>
          <w:tcPr>
            <w:tcW w:w="2041" w:type="dxa"/>
            <w:shd w:val="clear" w:color="auto" w:fill="auto"/>
            <w:vAlign w:val="center"/>
          </w:tcPr>
          <w:p w14:paraId="38A99947">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一种带有上下料机构的压力机</w:t>
            </w:r>
          </w:p>
        </w:tc>
        <w:tc>
          <w:tcPr>
            <w:tcW w:w="1262" w:type="dxa"/>
            <w:shd w:val="clear" w:color="auto" w:fill="auto"/>
            <w:vAlign w:val="center"/>
          </w:tcPr>
          <w:p w14:paraId="1481DAC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525" w:type="dxa"/>
            <w:shd w:val="clear" w:color="auto" w:fill="auto"/>
            <w:vAlign w:val="center"/>
          </w:tcPr>
          <w:p w14:paraId="4814798C">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2023/09/13</w:t>
            </w:r>
          </w:p>
        </w:tc>
        <w:tc>
          <w:tcPr>
            <w:tcW w:w="1575" w:type="dxa"/>
            <w:shd w:val="clear" w:color="auto" w:fill="auto"/>
            <w:vAlign w:val="center"/>
          </w:tcPr>
          <w:p w14:paraId="18EB6437">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2024/06/25</w:t>
            </w:r>
          </w:p>
        </w:tc>
        <w:tc>
          <w:tcPr>
            <w:tcW w:w="2243" w:type="dxa"/>
            <w:shd w:val="clear" w:color="auto" w:fill="auto"/>
            <w:vAlign w:val="center"/>
          </w:tcPr>
          <w:p w14:paraId="2D1A9EBA">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ZL202322498873.7</w:t>
            </w:r>
          </w:p>
        </w:tc>
      </w:tr>
    </w:tbl>
    <w:p w14:paraId="447B2A81">
      <w:pPr>
        <w:pStyle w:val="14"/>
        <w:keepNext w:val="0"/>
        <w:keepLines w:val="0"/>
        <w:widowControl/>
        <w:suppressLineNumbers w:val="0"/>
        <w:jc w:val="center"/>
        <w:rPr>
          <w:rFonts w:hint="eastAsia" w:ascii="仿宋" w:hAnsi="仿宋" w:eastAsia="仿宋" w:cs="仿宋"/>
          <w:sz w:val="28"/>
          <w:szCs w:val="28"/>
        </w:rPr>
      </w:pPr>
      <w:r>
        <w:rPr>
          <w:rFonts w:hint="eastAsia" w:ascii="仿宋" w:hAnsi="仿宋" w:eastAsia="仿宋" w:cs="仿宋"/>
          <w:sz w:val="28"/>
          <w:szCs w:val="28"/>
        </w:rPr>
        <w:t>2024年软件著作权登记明细表</w:t>
      </w:r>
    </w:p>
    <w:tbl>
      <w:tblPr>
        <w:tblStyle w:val="17"/>
        <w:tblW w:w="92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661"/>
        <w:gridCol w:w="1213"/>
        <w:gridCol w:w="1200"/>
        <w:gridCol w:w="1450"/>
        <w:gridCol w:w="1437"/>
        <w:gridCol w:w="1812"/>
      </w:tblGrid>
      <w:tr w14:paraId="5092D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dxa"/>
            <w:shd w:val="clear" w:color="auto" w:fill="auto"/>
            <w:vAlign w:val="center"/>
          </w:tcPr>
          <w:p w14:paraId="76B4D08C">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序号</w:t>
            </w:r>
          </w:p>
        </w:tc>
        <w:tc>
          <w:tcPr>
            <w:tcW w:w="1661" w:type="dxa"/>
            <w:shd w:val="clear" w:color="auto" w:fill="auto"/>
            <w:vAlign w:val="center"/>
          </w:tcPr>
          <w:p w14:paraId="34CB120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软件著作登记名称</w:t>
            </w:r>
          </w:p>
        </w:tc>
        <w:tc>
          <w:tcPr>
            <w:tcW w:w="1213" w:type="dxa"/>
            <w:shd w:val="clear" w:color="auto" w:fill="auto"/>
            <w:vAlign w:val="center"/>
          </w:tcPr>
          <w:p w14:paraId="3FEFC200">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权利范围</w:t>
            </w:r>
          </w:p>
        </w:tc>
        <w:tc>
          <w:tcPr>
            <w:tcW w:w="1200" w:type="dxa"/>
            <w:shd w:val="clear" w:color="auto" w:fill="auto"/>
            <w:vAlign w:val="center"/>
          </w:tcPr>
          <w:p w14:paraId="20D2A793">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取得方式</w:t>
            </w:r>
          </w:p>
        </w:tc>
        <w:tc>
          <w:tcPr>
            <w:tcW w:w="1450" w:type="dxa"/>
            <w:shd w:val="clear" w:color="auto" w:fill="auto"/>
            <w:vAlign w:val="center"/>
          </w:tcPr>
          <w:p w14:paraId="7EC2432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完成时间</w:t>
            </w:r>
          </w:p>
        </w:tc>
        <w:tc>
          <w:tcPr>
            <w:tcW w:w="1437" w:type="dxa"/>
            <w:shd w:val="clear" w:color="auto" w:fill="auto"/>
            <w:vAlign w:val="center"/>
          </w:tcPr>
          <w:p w14:paraId="443A0D2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登记时间</w:t>
            </w:r>
          </w:p>
        </w:tc>
        <w:tc>
          <w:tcPr>
            <w:tcW w:w="1812" w:type="dxa"/>
            <w:shd w:val="clear" w:color="auto" w:fill="auto"/>
            <w:vAlign w:val="center"/>
          </w:tcPr>
          <w:p w14:paraId="58EBB222">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登记号</w:t>
            </w:r>
          </w:p>
        </w:tc>
      </w:tr>
      <w:tr w14:paraId="6D670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6" w:type="dxa"/>
            <w:shd w:val="clear" w:color="auto" w:fill="auto"/>
            <w:vAlign w:val="center"/>
          </w:tcPr>
          <w:p w14:paraId="452ED3A5">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1661" w:type="dxa"/>
            <w:shd w:val="clear" w:color="auto" w:fill="auto"/>
            <w:vAlign w:val="center"/>
          </w:tcPr>
          <w:p w14:paraId="23E97460">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底传动高速精密压力机系统V1.0</w:t>
            </w:r>
          </w:p>
        </w:tc>
        <w:tc>
          <w:tcPr>
            <w:tcW w:w="1213" w:type="dxa"/>
            <w:shd w:val="clear" w:color="auto" w:fill="auto"/>
            <w:vAlign w:val="center"/>
          </w:tcPr>
          <w:p w14:paraId="0BBF4036">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全部权利</w:t>
            </w:r>
          </w:p>
        </w:tc>
        <w:tc>
          <w:tcPr>
            <w:tcW w:w="1200" w:type="dxa"/>
            <w:shd w:val="clear" w:color="auto" w:fill="auto"/>
            <w:vAlign w:val="center"/>
          </w:tcPr>
          <w:p w14:paraId="1993366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原始取得</w:t>
            </w:r>
          </w:p>
        </w:tc>
        <w:tc>
          <w:tcPr>
            <w:tcW w:w="1450" w:type="dxa"/>
            <w:shd w:val="clear" w:color="auto" w:fill="auto"/>
            <w:vAlign w:val="center"/>
          </w:tcPr>
          <w:p w14:paraId="42913692">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2024/08/22</w:t>
            </w:r>
          </w:p>
        </w:tc>
        <w:tc>
          <w:tcPr>
            <w:tcW w:w="1437" w:type="dxa"/>
            <w:shd w:val="clear" w:color="auto" w:fill="auto"/>
            <w:vAlign w:val="center"/>
          </w:tcPr>
          <w:p w14:paraId="4EB1717A">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2024/09/27</w:t>
            </w:r>
          </w:p>
        </w:tc>
        <w:tc>
          <w:tcPr>
            <w:tcW w:w="1812" w:type="dxa"/>
            <w:shd w:val="clear" w:color="auto" w:fill="auto"/>
            <w:vAlign w:val="center"/>
          </w:tcPr>
          <w:p w14:paraId="746EFF8D">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2024SR1441221</w:t>
            </w:r>
          </w:p>
        </w:tc>
      </w:tr>
      <w:tr w14:paraId="64397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6" w:type="dxa"/>
            <w:shd w:val="clear" w:color="auto" w:fill="auto"/>
            <w:vAlign w:val="center"/>
          </w:tcPr>
          <w:p w14:paraId="04EAD493">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w:t>
            </w:r>
          </w:p>
        </w:tc>
        <w:tc>
          <w:tcPr>
            <w:tcW w:w="1661" w:type="dxa"/>
            <w:shd w:val="clear" w:color="auto" w:fill="auto"/>
            <w:vAlign w:val="center"/>
          </w:tcPr>
          <w:p w14:paraId="3FB91220">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设备数字化管理系统V1.0</w:t>
            </w:r>
          </w:p>
        </w:tc>
        <w:tc>
          <w:tcPr>
            <w:tcW w:w="1213" w:type="dxa"/>
            <w:shd w:val="clear" w:color="auto" w:fill="auto"/>
            <w:vAlign w:val="center"/>
          </w:tcPr>
          <w:p w14:paraId="51D20A51">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全部权利</w:t>
            </w:r>
          </w:p>
        </w:tc>
        <w:tc>
          <w:tcPr>
            <w:tcW w:w="1200" w:type="dxa"/>
            <w:shd w:val="clear" w:color="auto" w:fill="auto"/>
            <w:vAlign w:val="center"/>
          </w:tcPr>
          <w:p w14:paraId="690F1844">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原始取得</w:t>
            </w:r>
          </w:p>
        </w:tc>
        <w:tc>
          <w:tcPr>
            <w:tcW w:w="1450" w:type="dxa"/>
            <w:shd w:val="clear" w:color="auto" w:fill="auto"/>
            <w:vAlign w:val="center"/>
          </w:tcPr>
          <w:p w14:paraId="0C7C52FB">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2024/08/22</w:t>
            </w:r>
          </w:p>
        </w:tc>
        <w:tc>
          <w:tcPr>
            <w:tcW w:w="1437" w:type="dxa"/>
            <w:shd w:val="clear" w:color="auto" w:fill="auto"/>
            <w:vAlign w:val="center"/>
          </w:tcPr>
          <w:p w14:paraId="394A19C2">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2024/09/27</w:t>
            </w:r>
          </w:p>
        </w:tc>
        <w:tc>
          <w:tcPr>
            <w:tcW w:w="1812" w:type="dxa"/>
            <w:shd w:val="clear" w:color="auto" w:fill="auto"/>
            <w:vAlign w:val="center"/>
          </w:tcPr>
          <w:p w14:paraId="5238C9E7">
            <w:pPr>
              <w:pStyle w:val="14"/>
              <w:keepNext w:val="0"/>
              <w:keepLines w:val="0"/>
              <w:widowControl/>
              <w:suppressLineNumbers w:val="0"/>
              <w:ind w:left="0" w:leftChars="0" w:right="0" w:rightChars="0"/>
              <w:jc w:val="center"/>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2024SR1443592</w:t>
            </w:r>
          </w:p>
        </w:tc>
      </w:tr>
    </w:tbl>
    <w:p w14:paraId="25DF3564">
      <w:pPr>
        <w:keepNext w:val="0"/>
        <w:keepLines w:val="0"/>
        <w:pageBreakBefore w:val="0"/>
        <w:kinsoku/>
        <w:overflowPunct/>
        <w:topLinePunct w:val="0"/>
        <w:bidi w:val="0"/>
        <w:spacing w:line="560" w:lineRule="exact"/>
        <w:ind w:right="0" w:rightChars="0"/>
        <w:textAlignment w:val="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七、结 语</w:t>
      </w:r>
    </w:p>
    <w:p w14:paraId="2E353948">
      <w:pPr>
        <w:keepNext w:val="0"/>
        <w:keepLines w:val="0"/>
        <w:pageBreakBefore w:val="0"/>
        <w:kinsoku/>
        <w:overflowPunct/>
        <w:topLinePunct w:val="0"/>
        <w:bidi w:val="0"/>
        <w:spacing w:line="560" w:lineRule="exact"/>
        <w:ind w:right="0" w:rightChars="0" w:firstLine="532" w:firstLineChars="200"/>
        <w:textAlignment w:val="auto"/>
        <w:rPr>
          <w:rFonts w:hint="default" w:ascii="仿宋" w:hAnsi="仿宋" w:eastAsia="仿宋" w:cs="仿宋"/>
          <w:color w:val="000000" w:themeColor="text1"/>
          <w:w w:val="95"/>
          <w:sz w:val="28"/>
          <w:szCs w:val="28"/>
          <w:lang w:val="en-US" w:eastAsia="zh-CN"/>
          <w14:textFill>
            <w14:solidFill>
              <w14:schemeClr w14:val="tx1"/>
            </w14:solidFill>
          </w14:textFill>
        </w:rPr>
      </w:pPr>
      <w:r>
        <w:rPr>
          <w:rFonts w:hint="eastAsia" w:ascii="仿宋" w:hAnsi="仿宋" w:eastAsia="仿宋" w:cs="仿宋"/>
          <w:color w:val="000000" w:themeColor="text1"/>
          <w:w w:val="95"/>
          <w:sz w:val="28"/>
          <w:szCs w:val="28"/>
          <w:lang w:val="en-US" w:eastAsia="zh-CN"/>
          <w14:textFill>
            <w14:solidFill>
              <w14:schemeClr w14:val="tx1"/>
            </w14:solidFill>
          </w14:textFill>
        </w:rPr>
        <w:t>2025年全球经济发展预期步入新的发展阶段。公司将继续大力推进结构调整和转型升级，深化推进幸福共同体领头雁企业建设，突出责任管理在公司战略和发展规划中的作用，努力践行并传播社会责任理念，通过开展对标化发布社会责任报告，分享履行责任实践，持续提升社会责任管理绩效。</w:t>
      </w:r>
    </w:p>
    <w:p w14:paraId="075EACBE">
      <w:pPr>
        <w:keepNext w:val="0"/>
        <w:keepLines w:val="0"/>
        <w:pageBreakBefore w:val="0"/>
        <w:widowControl w:val="0"/>
        <w:kinsoku/>
        <w:wordWrap/>
        <w:overflowPunct/>
        <w:topLinePunct w:val="0"/>
        <w:autoSpaceDE/>
        <w:autoSpaceDN/>
        <w:bidi w:val="0"/>
        <w:adjustRightInd/>
        <w:snapToGrid/>
        <w:spacing w:line="600" w:lineRule="exact"/>
        <w:ind w:firstLine="532" w:firstLineChars="200"/>
        <w:textAlignment w:val="auto"/>
        <w:rPr>
          <w:rFonts w:hint="default" w:ascii="仿宋" w:hAnsi="仿宋" w:eastAsia="仿宋" w:cs="仿宋"/>
          <w:sz w:val="28"/>
          <w:szCs w:val="28"/>
          <w:lang w:val="en-US" w:eastAsia="zh-CN"/>
        </w:rPr>
      </w:pPr>
      <w:r>
        <w:rPr>
          <w:rFonts w:hint="eastAsia" w:ascii="仿宋" w:hAnsi="仿宋" w:eastAsia="仿宋" w:cs="仿宋"/>
          <w:color w:val="000000" w:themeColor="text1"/>
          <w:w w:val="95"/>
          <w:sz w:val="28"/>
          <w:szCs w:val="28"/>
          <w:lang w:val="en-US" w:eastAsia="zh-CN"/>
          <w14:textFill>
            <w14:solidFill>
              <w14:schemeClr w14:val="tx1"/>
            </w14:solidFill>
          </w14:textFill>
        </w:rPr>
        <w:t>社会责任</w:t>
      </w:r>
      <w:r>
        <w:rPr>
          <w:rFonts w:hint="eastAsia" w:ascii="仿宋" w:hAnsi="仿宋" w:eastAsia="仿宋" w:cs="仿宋"/>
          <w:color w:val="000000" w:themeColor="text1"/>
          <w:w w:val="95"/>
          <w:sz w:val="28"/>
          <w:szCs w:val="28"/>
          <w:lang w:eastAsia="zh-CN"/>
          <w14:textFill>
            <w14:solidFill>
              <w14:schemeClr w14:val="tx1"/>
            </w14:solidFill>
          </w14:textFill>
        </w:rPr>
        <w:t>体系</w:t>
      </w:r>
      <w:r>
        <w:rPr>
          <w:rFonts w:hint="eastAsia" w:ascii="仿宋" w:hAnsi="仿宋" w:eastAsia="仿宋" w:cs="仿宋"/>
          <w:color w:val="000000" w:themeColor="text1"/>
          <w:spacing w:val="1"/>
          <w:w w:val="95"/>
          <w:sz w:val="28"/>
          <w:szCs w:val="28"/>
          <w:lang w:eastAsia="zh-CN"/>
          <w14:textFill>
            <w14:solidFill>
              <w14:schemeClr w14:val="tx1"/>
            </w14:solidFill>
          </w14:textFill>
        </w:rPr>
        <w:t>建</w:t>
      </w:r>
      <w:r>
        <w:rPr>
          <w:rFonts w:hint="eastAsia" w:ascii="仿宋" w:hAnsi="仿宋" w:eastAsia="仿宋" w:cs="仿宋"/>
          <w:color w:val="000000" w:themeColor="text1"/>
          <w:w w:val="95"/>
          <w:sz w:val="28"/>
          <w:szCs w:val="28"/>
          <w:lang w:eastAsia="zh-CN"/>
          <w14:textFill>
            <w14:solidFill>
              <w14:schemeClr w14:val="tx1"/>
            </w14:solidFill>
          </w14:textFill>
        </w:rPr>
        <w:t>设</w:t>
      </w:r>
      <w:r>
        <w:rPr>
          <w:rFonts w:hint="eastAsia" w:ascii="仿宋" w:hAnsi="仿宋" w:eastAsia="仿宋" w:cs="仿宋"/>
          <w:color w:val="000000" w:themeColor="text1"/>
          <w:spacing w:val="1"/>
          <w:w w:val="95"/>
          <w:sz w:val="28"/>
          <w:szCs w:val="28"/>
          <w:lang w:eastAsia="zh-CN"/>
          <w14:textFill>
            <w14:solidFill>
              <w14:schemeClr w14:val="tx1"/>
            </w14:solidFill>
          </w14:textFill>
        </w:rPr>
        <w:t>是</w:t>
      </w:r>
      <w:r>
        <w:rPr>
          <w:rFonts w:hint="eastAsia" w:ascii="仿宋" w:hAnsi="仿宋" w:eastAsia="仿宋" w:cs="仿宋"/>
          <w:color w:val="000000" w:themeColor="text1"/>
          <w:w w:val="95"/>
          <w:sz w:val="28"/>
          <w:szCs w:val="28"/>
          <w:lang w:eastAsia="zh-CN"/>
          <w14:textFill>
            <w14:solidFill>
              <w14:schemeClr w14:val="tx1"/>
            </w14:solidFill>
          </w14:textFill>
        </w:rPr>
        <w:t>一项长</w:t>
      </w:r>
      <w:r>
        <w:rPr>
          <w:rFonts w:hint="eastAsia" w:ascii="仿宋" w:hAnsi="仿宋" w:eastAsia="仿宋" w:cs="仿宋"/>
          <w:color w:val="000000" w:themeColor="text1"/>
          <w:spacing w:val="1"/>
          <w:w w:val="95"/>
          <w:sz w:val="28"/>
          <w:szCs w:val="28"/>
          <w:lang w:eastAsia="zh-CN"/>
          <w14:textFill>
            <w14:solidFill>
              <w14:schemeClr w14:val="tx1"/>
            </w14:solidFill>
          </w14:textFill>
        </w:rPr>
        <w:t>期</w:t>
      </w:r>
      <w:r>
        <w:rPr>
          <w:rFonts w:hint="eastAsia" w:ascii="仿宋" w:hAnsi="仿宋" w:eastAsia="仿宋" w:cs="仿宋"/>
          <w:color w:val="000000" w:themeColor="text1"/>
          <w:w w:val="95"/>
          <w:sz w:val="28"/>
          <w:szCs w:val="28"/>
          <w:lang w:eastAsia="zh-CN"/>
          <w14:textFill>
            <w14:solidFill>
              <w14:schemeClr w14:val="tx1"/>
            </w14:solidFill>
          </w14:textFill>
        </w:rPr>
        <w:t>的</w:t>
      </w:r>
      <w:r>
        <w:rPr>
          <w:rFonts w:hint="eastAsia" w:ascii="仿宋" w:hAnsi="仿宋" w:eastAsia="仿宋" w:cs="仿宋"/>
          <w:color w:val="000000" w:themeColor="text1"/>
          <w:spacing w:val="-54"/>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系</w:t>
      </w:r>
      <w:r>
        <w:rPr>
          <w:rFonts w:hint="eastAsia" w:ascii="仿宋" w:hAnsi="仿宋" w:eastAsia="仿宋" w:cs="仿宋"/>
          <w:color w:val="000000" w:themeColor="text1"/>
          <w:w w:val="95"/>
          <w:sz w:val="28"/>
          <w:szCs w:val="28"/>
          <w:lang w:eastAsia="zh-CN"/>
          <w14:textFill>
            <w14:solidFill>
              <w14:schemeClr w14:val="tx1"/>
            </w14:solidFill>
          </w14:textFill>
        </w:rPr>
        <w:t>统</w:t>
      </w:r>
      <w:r>
        <w:rPr>
          <w:rFonts w:hint="eastAsia" w:ascii="仿宋" w:hAnsi="仿宋" w:eastAsia="仿宋" w:cs="仿宋"/>
          <w:color w:val="000000" w:themeColor="text1"/>
          <w:spacing w:val="1"/>
          <w:w w:val="95"/>
          <w:sz w:val="28"/>
          <w:szCs w:val="28"/>
          <w:lang w:eastAsia="zh-CN"/>
          <w14:textFill>
            <w14:solidFill>
              <w14:schemeClr w14:val="tx1"/>
            </w14:solidFill>
          </w14:textFill>
        </w:rPr>
        <w:t>的</w:t>
      </w:r>
      <w:r>
        <w:rPr>
          <w:rFonts w:hint="eastAsia" w:ascii="仿宋" w:hAnsi="仿宋" w:eastAsia="仿宋" w:cs="仿宋"/>
          <w:color w:val="000000" w:themeColor="text1"/>
          <w:w w:val="95"/>
          <w:sz w:val="28"/>
          <w:szCs w:val="28"/>
          <w:lang w:eastAsia="zh-CN"/>
          <w14:textFill>
            <w14:solidFill>
              <w14:schemeClr w14:val="tx1"/>
            </w14:solidFill>
          </w14:textFill>
        </w:rPr>
        <w:t>工作任</w:t>
      </w:r>
      <w:r>
        <w:rPr>
          <w:rFonts w:hint="eastAsia" w:ascii="仿宋" w:hAnsi="仿宋" w:eastAsia="仿宋" w:cs="仿宋"/>
          <w:color w:val="000000" w:themeColor="text1"/>
          <w:spacing w:val="1"/>
          <w:w w:val="95"/>
          <w:sz w:val="28"/>
          <w:szCs w:val="28"/>
          <w:lang w:eastAsia="zh-CN"/>
          <w14:textFill>
            <w14:solidFill>
              <w14:schemeClr w14:val="tx1"/>
            </w14:solidFill>
          </w14:textFill>
        </w:rPr>
        <w:t>务</w:t>
      </w:r>
      <w:r>
        <w:rPr>
          <w:rFonts w:hint="eastAsia" w:ascii="仿宋" w:hAnsi="仿宋" w:eastAsia="仿宋" w:cs="仿宋"/>
          <w:color w:val="000000" w:themeColor="text1"/>
          <w:spacing w:val="-54"/>
          <w:w w:val="95"/>
          <w:sz w:val="28"/>
          <w:szCs w:val="28"/>
          <w:lang w:eastAsia="zh-CN"/>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未来，公司将</w:t>
      </w:r>
      <w:r>
        <w:rPr>
          <w:rFonts w:hint="eastAsia" w:ascii="仿宋" w:hAnsi="仿宋" w:eastAsia="仿宋" w:cs="仿宋"/>
          <w:color w:val="000000" w:themeColor="text1"/>
          <w:sz w:val="28"/>
          <w:szCs w:val="28"/>
          <w:lang w:val="en-US" w:eastAsia="zh-CN"/>
          <w14:textFill>
            <w14:solidFill>
              <w14:schemeClr w14:val="tx1"/>
            </w14:solidFill>
          </w14:textFill>
        </w:rPr>
        <w:t>坚守初心</w:t>
      </w:r>
      <w:r>
        <w:rPr>
          <w:rFonts w:hint="eastAsia" w:ascii="仿宋" w:hAnsi="仿宋" w:eastAsia="仿宋" w:cs="仿宋"/>
          <w:color w:val="000000" w:themeColor="text1"/>
          <w:sz w:val="28"/>
          <w:szCs w:val="28"/>
          <w14:textFill>
            <w14:solidFill>
              <w14:schemeClr w14:val="tx1"/>
            </w14:solidFill>
          </w14:textFill>
        </w:rPr>
        <w:t>，坚持技术创新、产业创新、产品创新、营销创新、管理创新，励精图治，最求卓越，向顾客持续地提供满意的产品和优质的服务，</w:t>
      </w:r>
      <w:r>
        <w:rPr>
          <w:rFonts w:hint="eastAsia" w:ascii="仿宋" w:hAnsi="仿宋" w:eastAsia="仿宋" w:cs="仿宋"/>
          <w:color w:val="000000" w:themeColor="text1"/>
          <w:sz w:val="28"/>
          <w:szCs w:val="28"/>
          <w:lang w:val="en-US" w:eastAsia="zh-CN"/>
          <w14:textFill>
            <w14:solidFill>
              <w14:schemeClr w14:val="tx1"/>
            </w14:solidFill>
          </w14:textFill>
        </w:rPr>
        <w:t>努力</w:t>
      </w:r>
      <w:r>
        <w:rPr>
          <w:rFonts w:hint="eastAsia" w:ascii="仿宋" w:hAnsi="仿宋" w:eastAsia="仿宋" w:cs="仿宋"/>
          <w:color w:val="000000" w:themeColor="text1"/>
          <w:sz w:val="28"/>
          <w:szCs w:val="28"/>
          <w14:textFill>
            <w14:solidFill>
              <w14:schemeClr w14:val="tx1"/>
            </w14:solidFill>
          </w14:textFill>
        </w:rPr>
        <w:t>成为国内有影响力的高端数控压力机供应商</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公司努力营造内部上下同心，外部协同发展的和谐氛围，</w:t>
      </w:r>
      <w:r>
        <w:rPr>
          <w:rFonts w:hint="eastAsia" w:ascii="仿宋" w:hAnsi="仿宋" w:eastAsia="仿宋" w:cs="仿宋"/>
          <w:sz w:val="28"/>
          <w:szCs w:val="28"/>
          <w:lang w:val="en-US" w:eastAsia="zh-CN"/>
        </w:rPr>
        <w:t>力争以优异的成绩经营业绩回报股东和其他利益相关方，以多样化的科技创新引领行业发展，以开展节能减排项目建设推进绿色产品发展，以诚挚的关怀和爱护陪伴员工成长，以参加和筹办形式多样的公益活动回馈社会，</w:t>
      </w:r>
      <w:r>
        <w:rPr>
          <w:rFonts w:hint="eastAsia" w:ascii="仿宋" w:hAnsi="仿宋" w:eastAsia="仿宋" w:cs="仿宋"/>
          <w:color w:val="000000" w:themeColor="text1"/>
          <w:sz w:val="28"/>
          <w:szCs w:val="28"/>
          <w14:textFill>
            <w14:solidFill>
              <w14:schemeClr w14:val="tx1"/>
            </w14:solidFill>
          </w14:textFill>
        </w:rPr>
        <w:t>实现相关利益方和谐共赢，并积极履行社会责任，</w:t>
      </w:r>
      <w:r>
        <w:rPr>
          <w:rFonts w:hint="eastAsia" w:ascii="仿宋" w:hAnsi="仿宋" w:eastAsia="仿宋" w:cs="仿宋"/>
          <w:w w:val="90"/>
          <w:sz w:val="28"/>
          <w:szCs w:val="28"/>
        </w:rPr>
        <w:t>回报社会</w:t>
      </w:r>
      <w:r>
        <w:rPr>
          <w:rFonts w:hint="eastAsia" w:ascii="仿宋" w:hAnsi="仿宋" w:eastAsia="仿宋" w:cs="仿宋"/>
          <w:color w:val="000000" w:themeColor="text1"/>
          <w:sz w:val="28"/>
          <w:szCs w:val="28"/>
          <w14:textFill>
            <w14:solidFill>
              <w14:schemeClr w14:val="tx1"/>
            </w14:solidFill>
          </w14:textFill>
        </w:rPr>
        <w:t>。</w:t>
      </w:r>
      <w:bookmarkEnd w:id="2"/>
    </w:p>
    <w:sectPr>
      <w:footerReference r:id="rId4" w:type="default"/>
      <w:pgSz w:w="11906" w:h="16838"/>
      <w:pgMar w:top="754" w:right="1474" w:bottom="1247" w:left="1474" w:header="425" w:footer="55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auto"/>
    <w:pitch w:val="default"/>
    <w:sig w:usb0="A00002EF" w:usb1="4000207B"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83FC8">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10FFF3">
                          <w:pPr>
                            <w:pStyle w:val="9"/>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10FFF3">
                    <w:pPr>
                      <w:pStyle w:val="9"/>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AC4F7">
    <w:pPr>
      <w:pStyle w:val="10"/>
      <w:jc w:val="left"/>
      <w:rPr>
        <w:rFonts w:hint="default" w:eastAsia="宋体"/>
        <w:sz w:val="24"/>
        <w:szCs w:val="24"/>
        <w:lang w:val="en-US" w:eastAsia="zh-CN"/>
      </w:rPr>
    </w:pPr>
    <w:r>
      <w:rPr>
        <w:rFonts w:hint="eastAsia"/>
      </w:rPr>
      <w:drawing>
        <wp:inline distT="0" distB="0" distL="114300" distR="114300">
          <wp:extent cx="1443990" cy="301625"/>
          <wp:effectExtent l="0" t="0" r="3810" b="31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
                  <a:stretch>
                    <a:fillRect/>
                  </a:stretch>
                </pic:blipFill>
                <pic:spPr>
                  <a:xfrm>
                    <a:off x="0" y="0"/>
                    <a:ext cx="1443990" cy="301625"/>
                  </a:xfrm>
                  <a:prstGeom prst="rect">
                    <a:avLst/>
                  </a:prstGeom>
                  <a:noFill/>
                  <a:ln>
                    <a:noFill/>
                  </a:ln>
                </pic:spPr>
              </pic:pic>
            </a:graphicData>
          </a:graphic>
        </wp:inline>
      </w:drawing>
    </w:r>
    <w:r>
      <w:rPr>
        <w:rFonts w:hint="eastAsia"/>
        <w:lang w:val="en-US" w:eastAsia="zh-CN"/>
      </w:rPr>
      <w:t xml:space="preserve">                                             </w:t>
    </w:r>
    <w:r>
      <w:rPr>
        <w:rFonts w:hint="eastAsia"/>
        <w:sz w:val="24"/>
        <w:szCs w:val="24"/>
        <w:lang w:val="en-US" w:eastAsia="zh-CN"/>
      </w:rPr>
      <w:t xml:space="preserve"> 2024年社会责任报告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1D5F16"/>
    <w:multiLevelType w:val="singleLevel"/>
    <w:tmpl w:val="9F1D5F16"/>
    <w:lvl w:ilvl="0" w:tentative="0">
      <w:start w:val="1"/>
      <w:numFmt w:val="chineseCounting"/>
      <w:suff w:val="nothing"/>
      <w:lvlText w:val="%1、"/>
      <w:lvlJc w:val="left"/>
      <w:rPr>
        <w:rFonts w:hint="eastAsia"/>
      </w:rPr>
    </w:lvl>
  </w:abstractNum>
  <w:abstractNum w:abstractNumId="1">
    <w:nsid w:val="B835936E"/>
    <w:multiLevelType w:val="singleLevel"/>
    <w:tmpl w:val="B835936E"/>
    <w:lvl w:ilvl="0" w:tentative="0">
      <w:start w:val="1"/>
      <w:numFmt w:val="chineseCounting"/>
      <w:suff w:val="nothing"/>
      <w:lvlText w:val="（%1）"/>
      <w:lvlJc w:val="left"/>
      <w:rPr>
        <w:rFonts w:hint="eastAsia"/>
      </w:rPr>
    </w:lvl>
  </w:abstractNum>
  <w:abstractNum w:abstractNumId="2">
    <w:nsid w:val="D530B40F"/>
    <w:multiLevelType w:val="singleLevel"/>
    <w:tmpl w:val="D530B40F"/>
    <w:lvl w:ilvl="0" w:tentative="0">
      <w:start w:val="1"/>
      <w:numFmt w:val="chineseCounting"/>
      <w:suff w:val="nothing"/>
      <w:lvlText w:val="（%1）"/>
      <w:lvlJc w:val="left"/>
      <w:rPr>
        <w:rFonts w:hint="eastAsia"/>
      </w:rPr>
    </w:lvl>
  </w:abstractNum>
  <w:abstractNum w:abstractNumId="3">
    <w:nsid w:val="F922B2A0"/>
    <w:multiLevelType w:val="singleLevel"/>
    <w:tmpl w:val="F922B2A0"/>
    <w:lvl w:ilvl="0" w:tentative="0">
      <w:start w:val="2"/>
      <w:numFmt w:val="chineseCounting"/>
      <w:suff w:val="nothing"/>
      <w:lvlText w:val="%1、"/>
      <w:lvlJc w:val="left"/>
      <w:rPr>
        <w:rFonts w:hint="eastAsia"/>
      </w:rPr>
    </w:lvl>
  </w:abstractNum>
  <w:abstractNum w:abstractNumId="4">
    <w:nsid w:val="101EA68B"/>
    <w:multiLevelType w:val="singleLevel"/>
    <w:tmpl w:val="101EA68B"/>
    <w:lvl w:ilvl="0" w:tentative="0">
      <w:start w:val="1"/>
      <w:numFmt w:val="decimal"/>
      <w:suff w:val="nothing"/>
      <w:lvlText w:val="%1、"/>
      <w:lvlJc w:val="left"/>
    </w:lvl>
  </w:abstractNum>
  <w:abstractNum w:abstractNumId="5">
    <w:nsid w:val="209242E4"/>
    <w:multiLevelType w:val="multilevel"/>
    <w:tmpl w:val="209242E4"/>
    <w:lvl w:ilvl="0" w:tentative="0">
      <w:start w:val="1"/>
      <w:numFmt w:val="decimal"/>
      <w:suff w:val="space"/>
      <w:lvlText w:val="图表4.7.2-%1"/>
      <w:lvlJc w:val="center"/>
      <w:pPr>
        <w:ind w:left="0" w:firstLine="397"/>
      </w:pPr>
      <w:rPr>
        <w:rFonts w:hint="eastAsia"/>
        <w:b/>
        <w:bCs/>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3B112A9A"/>
    <w:multiLevelType w:val="multilevel"/>
    <w:tmpl w:val="3B112A9A"/>
    <w:lvl w:ilvl="0" w:tentative="0">
      <w:start w:val="1"/>
      <w:numFmt w:val="decimal"/>
      <w:suff w:val="space"/>
      <w:lvlText w:val="图表4.7.7-%1"/>
      <w:lvlJc w:val="center"/>
      <w:pPr>
        <w:ind w:left="0" w:firstLine="0"/>
      </w:pPr>
      <w:rPr>
        <w:rFonts w:hint="eastAsia"/>
        <w:b/>
        <w:bCs/>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78930EF"/>
    <w:multiLevelType w:val="singleLevel"/>
    <w:tmpl w:val="478930EF"/>
    <w:lvl w:ilvl="0" w:tentative="0">
      <w:start w:val="2"/>
      <w:numFmt w:val="chineseCounting"/>
      <w:suff w:val="nothing"/>
      <w:lvlText w:val="（%1）"/>
      <w:lvlJc w:val="left"/>
      <w:rPr>
        <w:rFonts w:hint="eastAsia"/>
      </w:rPr>
    </w:lvl>
  </w:abstractNum>
  <w:abstractNum w:abstractNumId="8">
    <w:nsid w:val="50D97D71"/>
    <w:multiLevelType w:val="singleLevel"/>
    <w:tmpl w:val="50D97D71"/>
    <w:lvl w:ilvl="0" w:tentative="0">
      <w:start w:val="1"/>
      <w:numFmt w:val="decimal"/>
      <w:suff w:val="nothing"/>
      <w:lvlText w:val="%1、"/>
      <w:lvlJc w:val="left"/>
    </w:lvl>
  </w:abstractNum>
  <w:abstractNum w:abstractNumId="9">
    <w:nsid w:val="687A6DF3"/>
    <w:multiLevelType w:val="multilevel"/>
    <w:tmpl w:val="687A6DF3"/>
    <w:lvl w:ilvl="0" w:tentative="0">
      <w:start w:val="1"/>
      <w:numFmt w:val="decimal"/>
      <w:suff w:val="space"/>
      <w:lvlText w:val="图表4.4.2-%1"/>
      <w:lvlJc w:val="center"/>
      <w:pPr>
        <w:ind w:left="23" w:hanging="23"/>
      </w:pPr>
      <w:rPr>
        <w:rFonts w:hint="eastAsia"/>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6F0B31E4"/>
    <w:multiLevelType w:val="singleLevel"/>
    <w:tmpl w:val="6F0B31E4"/>
    <w:lvl w:ilvl="0" w:tentative="0">
      <w:start w:val="1"/>
      <w:numFmt w:val="chineseCounting"/>
      <w:suff w:val="nothing"/>
      <w:lvlText w:val="（%1）"/>
      <w:lvlJc w:val="left"/>
      <w:rPr>
        <w:rFonts w:hint="eastAsia"/>
      </w:rPr>
    </w:lvl>
  </w:abstractNum>
  <w:abstractNum w:abstractNumId="11">
    <w:nsid w:val="7024715E"/>
    <w:multiLevelType w:val="multilevel"/>
    <w:tmpl w:val="7024715E"/>
    <w:lvl w:ilvl="0" w:tentative="0">
      <w:start w:val="1"/>
      <w:numFmt w:val="decimal"/>
      <w:suff w:val="space"/>
      <w:lvlText w:val="图表4.1-%1"/>
      <w:lvlJc w:val="center"/>
      <w:pPr>
        <w:ind w:left="0" w:firstLine="420"/>
      </w:pPr>
      <w:rPr>
        <w:rFonts w:hint="eastAsia"/>
        <w:b/>
        <w:bCs/>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558038C"/>
    <w:multiLevelType w:val="multilevel"/>
    <w:tmpl w:val="7558038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3"/>
  </w:num>
  <w:num w:numId="2">
    <w:abstractNumId w:val="10"/>
  </w:num>
  <w:num w:numId="3">
    <w:abstractNumId w:val="0"/>
  </w:num>
  <w:num w:numId="4">
    <w:abstractNumId w:val="1"/>
  </w:num>
  <w:num w:numId="5">
    <w:abstractNumId w:val="2"/>
  </w:num>
  <w:num w:numId="6">
    <w:abstractNumId w:val="6"/>
  </w:num>
  <w:num w:numId="7">
    <w:abstractNumId w:val="4"/>
  </w:num>
  <w:num w:numId="8">
    <w:abstractNumId w:val="11"/>
  </w:num>
  <w:num w:numId="9">
    <w:abstractNumId w:val="12"/>
  </w:num>
  <w:num w:numId="10">
    <w:abstractNumId w:val="7"/>
  </w:num>
  <w:num w:numId="11">
    <w:abstractNumId w:val="9"/>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4MTgyZTA2ZDAzYjBkODdlMTM1MDhhZmZmNjI5MmIifQ=="/>
  </w:docVars>
  <w:rsids>
    <w:rsidRoot w:val="3CE57EA0"/>
    <w:rsid w:val="01097D2F"/>
    <w:rsid w:val="04842AA6"/>
    <w:rsid w:val="065B3392"/>
    <w:rsid w:val="06764670"/>
    <w:rsid w:val="11F42AB7"/>
    <w:rsid w:val="198255ED"/>
    <w:rsid w:val="20EB1A8B"/>
    <w:rsid w:val="21F1082E"/>
    <w:rsid w:val="23216208"/>
    <w:rsid w:val="23353491"/>
    <w:rsid w:val="24F84776"/>
    <w:rsid w:val="29750D50"/>
    <w:rsid w:val="302E471A"/>
    <w:rsid w:val="30370A09"/>
    <w:rsid w:val="343E1A7A"/>
    <w:rsid w:val="350E769E"/>
    <w:rsid w:val="35D703D8"/>
    <w:rsid w:val="36853887"/>
    <w:rsid w:val="3CE57EA0"/>
    <w:rsid w:val="4013356A"/>
    <w:rsid w:val="44F37F7D"/>
    <w:rsid w:val="52D3365A"/>
    <w:rsid w:val="535D1AC5"/>
    <w:rsid w:val="53C92713"/>
    <w:rsid w:val="58704048"/>
    <w:rsid w:val="5AC32B55"/>
    <w:rsid w:val="619015A5"/>
    <w:rsid w:val="641C6E32"/>
    <w:rsid w:val="661F2CBD"/>
    <w:rsid w:val="69CA7330"/>
    <w:rsid w:val="6BCC55E2"/>
    <w:rsid w:val="6DFD7CD4"/>
    <w:rsid w:val="735C724B"/>
    <w:rsid w:val="77387FCF"/>
    <w:rsid w:val="784C1F84"/>
    <w:rsid w:val="7AA434E0"/>
    <w:rsid w:val="7B6E5D6D"/>
    <w:rsid w:val="7BF704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4"/>
    <w:qFormat/>
    <w:uiPriority w:val="9"/>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9"/>
    <w:pPr>
      <w:spacing w:line="415" w:lineRule="auto"/>
      <w:outlineLvl w:val="1"/>
    </w:pPr>
    <w:rPr>
      <w:rFonts w:ascii="Times New Roman" w:hAnsi="Times New Roman" w:eastAsia="仿宋" w:cstheme="majorBidi"/>
      <w:b/>
      <w:bCs/>
      <w:sz w:val="30"/>
      <w:szCs w:val="32"/>
    </w:rPr>
  </w:style>
  <w:style w:type="paragraph" w:styleId="5">
    <w:name w:val="heading 3"/>
    <w:basedOn w:val="1"/>
    <w:next w:val="1"/>
    <w:qFormat/>
    <w:uiPriority w:val="0"/>
    <w:pPr>
      <w:outlineLvl w:val="2"/>
    </w:pPr>
    <w:rPr>
      <w:rFonts w:ascii="宋体" w:hAnsi="宋体"/>
      <w:b/>
      <w:sz w:val="24"/>
      <w:szCs w:val="24"/>
      <w:lang w:val="zh-CN"/>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6">
    <w:name w:val="caption"/>
    <w:basedOn w:val="1"/>
    <w:next w:val="1"/>
    <w:qFormat/>
    <w:uiPriority w:val="35"/>
    <w:rPr>
      <w:rFonts w:ascii="Cambria" w:hAnsi="Cambria" w:eastAsia="黑体" w:cs="Times New Roman"/>
      <w:sz w:val="20"/>
      <w:szCs w:val="20"/>
    </w:rPr>
  </w:style>
  <w:style w:type="paragraph" w:styleId="7">
    <w:name w:val="index 5"/>
    <w:next w:val="1"/>
    <w:qFormat/>
    <w:uiPriority w:val="0"/>
    <w:pPr>
      <w:widowControl w:val="0"/>
      <w:ind w:left="1680"/>
      <w:jc w:val="both"/>
    </w:pPr>
    <w:rPr>
      <w:rFonts w:ascii="黑体" w:hAnsi="Calibri" w:eastAsia="黑体" w:cs="Arial"/>
      <w:kern w:val="2"/>
      <w:sz w:val="32"/>
      <w:szCs w:val="32"/>
      <w:lang w:val="en-US" w:eastAsia="zh-CN" w:bidi="ar-SA"/>
    </w:rPr>
  </w:style>
  <w:style w:type="paragraph" w:styleId="8">
    <w:name w:val="Body Text Indent"/>
    <w:basedOn w:val="1"/>
    <w:autoRedefine/>
    <w:qFormat/>
    <w:uiPriority w:val="0"/>
    <w:pPr>
      <w:spacing w:after="120"/>
      <w:ind w:left="420" w:leftChars="200"/>
    </w:p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qFormat/>
    <w:uiPriority w:val="39"/>
    <w:pPr>
      <w:spacing w:line="300" w:lineRule="atLeast"/>
    </w:pPr>
    <w:rPr>
      <w:rFonts w:ascii="宋体"/>
      <w:szCs w:val="20"/>
    </w:rPr>
  </w:style>
  <w:style w:type="paragraph" w:styleId="12">
    <w:name w:val="toc 2"/>
    <w:basedOn w:val="1"/>
    <w:next w:val="1"/>
    <w:autoRedefine/>
    <w:unhideWhenUsed/>
    <w:qFormat/>
    <w:uiPriority w:val="39"/>
    <w:pPr>
      <w:ind w:left="420" w:leftChars="200"/>
    </w:pPr>
  </w:style>
  <w:style w:type="paragraph" w:styleId="1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Title"/>
    <w:basedOn w:val="1"/>
    <w:next w:val="1"/>
    <w:qFormat/>
    <w:uiPriority w:val="10"/>
    <w:pPr>
      <w:spacing w:before="240" w:after="60"/>
      <w:jc w:val="center"/>
      <w:outlineLvl w:val="0"/>
    </w:pPr>
    <w:rPr>
      <w:rFonts w:ascii="Cambria" w:hAnsi="Cambria" w:cs="Times New Roman"/>
      <w:b/>
      <w:bCs/>
      <w:sz w:val="32"/>
      <w:szCs w:val="32"/>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paragraph" w:styleId="20">
    <w:name w:val="List Paragraph"/>
    <w:basedOn w:val="1"/>
    <w:autoRedefine/>
    <w:qFormat/>
    <w:uiPriority w:val="34"/>
    <w:pPr>
      <w:ind w:firstLine="420" w:firstLineChars="200"/>
    </w:pPr>
  </w:style>
  <w:style w:type="paragraph" w:customStyle="1" w:styleId="21">
    <w:name w:val="表头五号"/>
    <w:basedOn w:val="1"/>
    <w:autoRedefine/>
    <w:qFormat/>
    <w:uiPriority w:val="0"/>
    <w:pPr>
      <w:autoSpaceDE w:val="0"/>
      <w:autoSpaceDN w:val="0"/>
      <w:spacing w:beforeLines="50" w:line="300" w:lineRule="auto"/>
      <w:ind w:firstLine="422" w:firstLineChars="200"/>
      <w:jc w:val="center"/>
    </w:pPr>
    <w:rPr>
      <w:rFonts w:ascii="宋体" w:hAnsi="宋体"/>
      <w:b/>
    </w:rPr>
  </w:style>
  <w:style w:type="paragraph" w:customStyle="1" w:styleId="22">
    <w:name w:val="YL表头"/>
    <w:basedOn w:val="6"/>
    <w:autoRedefine/>
    <w:qFormat/>
    <w:uiPriority w:val="0"/>
    <w:pPr>
      <w:spacing w:beforeLines="30" w:afterLines="20"/>
      <w:jc w:val="center"/>
    </w:pPr>
    <w:rPr>
      <w:rFonts w:ascii="Cambria" w:hAnsi="Cambria" w:eastAsia="宋体" w:cs="Times New Roman"/>
      <w:b/>
      <w:sz w:val="21"/>
    </w:rPr>
  </w:style>
  <w:style w:type="paragraph" w:customStyle="1" w:styleId="23">
    <w:name w:val="XN表头"/>
    <w:basedOn w:val="6"/>
    <w:autoRedefine/>
    <w:qFormat/>
    <w:uiPriority w:val="0"/>
    <w:pPr>
      <w:spacing w:beforeLines="30" w:afterLines="20"/>
      <w:jc w:val="center"/>
    </w:pPr>
    <w:rPr>
      <w:rFonts w:ascii="Cambria" w:hAnsi="Cambria" w:eastAsia="仿宋" w:cs="Times New Roman"/>
      <w:b/>
      <w:sz w:val="24"/>
    </w:rPr>
  </w:style>
  <w:style w:type="paragraph" w:customStyle="1" w:styleId="24">
    <w:name w:val="YL正文"/>
    <w:basedOn w:val="1"/>
    <w:autoRedefine/>
    <w:qFormat/>
    <w:uiPriority w:val="0"/>
    <w:pPr>
      <w:spacing w:line="300" w:lineRule="auto"/>
      <w:ind w:firstLine="200" w:firstLineChars="200"/>
    </w:pPr>
    <w:rPr>
      <w:rFonts w:ascii="仿宋" w:hAnsi="仿宋" w:eastAsia="宋体"/>
      <w:color w:val="000000"/>
      <w:sz w:val="24"/>
    </w:rPr>
  </w:style>
  <w:style w:type="paragraph" w:customStyle="1" w:styleId="25">
    <w:name w:val="Default"/>
    <w:autoRedefine/>
    <w:qFormat/>
    <w:uiPriority w:val="0"/>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paragraph" w:customStyle="1" w:styleId="26">
    <w:name w:val="表头"/>
    <w:basedOn w:val="1"/>
    <w:autoRedefine/>
    <w:qFormat/>
    <w:uiPriority w:val="0"/>
    <w:pPr>
      <w:widowControl/>
      <w:adjustRightInd w:val="0"/>
      <w:snapToGrid w:val="0"/>
      <w:spacing w:line="400" w:lineRule="exact"/>
      <w:ind w:firstLine="224" w:firstLineChars="224"/>
      <w:jc w:val="center"/>
    </w:pPr>
    <w:rPr>
      <w:rFonts w:ascii="黑体" w:hAnsi="黑体" w:eastAsia="黑体" w:cs="Times New Roman"/>
      <w:szCs w:val="21"/>
    </w:rPr>
  </w:style>
  <w:style w:type="paragraph" w:customStyle="1" w:styleId="27">
    <w:name w:val="YL图内容"/>
    <w:basedOn w:val="1"/>
    <w:autoRedefine/>
    <w:qFormat/>
    <w:uiPriority w:val="0"/>
    <w:pPr>
      <w:spacing w:line="264" w:lineRule="auto"/>
      <w:jc w:val="center"/>
    </w:pPr>
    <w:rPr>
      <w:rFonts w:ascii="仿宋" w:hAnsi="仿宋" w:eastAsia="宋体"/>
      <w:color w:val="000000"/>
    </w:rPr>
  </w:style>
  <w:style w:type="paragraph" w:customStyle="1" w:styleId="28">
    <w:name w:val="Table Paragraph"/>
    <w:basedOn w:val="1"/>
    <w:autoRedefine/>
    <w:qFormat/>
    <w:uiPriority w:val="0"/>
    <w:pPr>
      <w:jc w:val="left"/>
    </w:pPr>
    <w:rPr>
      <w:kern w:val="0"/>
      <w:sz w:val="22"/>
      <w:szCs w:val="22"/>
      <w:lang w:eastAsia="en-US"/>
    </w:rPr>
  </w:style>
  <w:style w:type="character" w:customStyle="1" w:styleId="29">
    <w:name w:val="k51"/>
    <w:autoRedefine/>
    <w:qFormat/>
    <w:uiPriority w:val="0"/>
    <w:rPr>
      <w:color w:val="333333"/>
      <w:sz w:val="20"/>
      <w:szCs w:val="20"/>
    </w:rPr>
  </w:style>
  <w:style w:type="paragraph" w:customStyle="1" w:styleId="30">
    <w:name w:val="TOC Heading"/>
    <w:basedOn w:val="3"/>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31">
    <w:name w:val="样式 文字 + 首行缩进:  2 字符3"/>
    <w:basedOn w:val="1"/>
    <w:qFormat/>
    <w:uiPriority w:val="0"/>
    <w:pPr>
      <w:spacing w:line="360" w:lineRule="auto"/>
      <w:ind w:firstLine="200" w:firstLineChars="200"/>
    </w:pPr>
    <w:rPr>
      <w:rFonts w:ascii="Calibri" w:hAnsi="Calibri" w:eastAsia="仿宋_GB2312" w:cs="宋体"/>
      <w:sz w:val="28"/>
      <w:szCs w:val="28"/>
    </w:rPr>
  </w:style>
  <w:style w:type="paragraph" w:customStyle="1" w:styleId="32">
    <w:name w:val="Normal Indent1"/>
    <w:basedOn w:val="1"/>
    <w:next w:val="7"/>
    <w:qFormat/>
    <w:uiPriority w:val="0"/>
    <w:pPr>
      <w:spacing w:line="480" w:lineRule="auto"/>
      <w:ind w:firstLine="420"/>
    </w:pPr>
    <w:rPr>
      <w:rFonts w:eastAsia="宋体"/>
      <w:szCs w:val="21"/>
    </w:rPr>
  </w:style>
  <w:style w:type="paragraph" w:customStyle="1" w:styleId="33">
    <w:name w:val="Body text|1"/>
    <w:basedOn w:val="1"/>
    <w:qFormat/>
    <w:uiPriority w:val="0"/>
    <w:pPr>
      <w:spacing w:line="470" w:lineRule="auto"/>
      <w:ind w:firstLine="400"/>
      <w:jc w:val="left"/>
    </w:pPr>
    <w:rPr>
      <w:rFonts w:ascii="宋体" w:hAnsi="宋体" w:eastAsia="宋体" w:cs="宋体"/>
      <w:kern w:val="0"/>
      <w:sz w:val="19"/>
      <w:szCs w:val="19"/>
      <w:lang w:val="zh-TW" w:eastAsia="zh-TW" w:bidi="zh-TW"/>
    </w:rPr>
  </w:style>
  <w:style w:type="paragraph" w:customStyle="1" w:styleId="34">
    <w:name w:val="图表题"/>
    <w:basedOn w:val="1"/>
    <w:qFormat/>
    <w:uiPriority w:val="0"/>
    <w:pPr>
      <w:widowControl/>
      <w:spacing w:after="50" w:afterLines="50" w:line="300" w:lineRule="auto"/>
      <w:jc w:val="center"/>
    </w:pPr>
    <w:rPr>
      <w:b/>
      <w:color w:val="000000"/>
      <w:szCs w:val="24"/>
    </w:rPr>
  </w:style>
  <w:style w:type="paragraph" w:customStyle="1" w:styleId="35">
    <w:name w:val="图表文本"/>
    <w:basedOn w:val="1"/>
    <w:next w:val="1"/>
    <w:qFormat/>
    <w:uiPriority w:val="0"/>
    <w:pPr>
      <w:adjustRightInd w:val="0"/>
      <w:snapToGrid w:val="0"/>
      <w:spacing w:line="240" w:lineRule="auto"/>
      <w:jc w:val="center"/>
    </w:pPr>
    <w:rPr>
      <w:rFonts w:ascii="Times New Roman" w:hAnsi="Times New Roman"/>
      <w:sz w:val="21"/>
      <w:szCs w:val="21"/>
    </w:rPr>
  </w:style>
  <w:style w:type="paragraph" w:customStyle="1" w:styleId="36">
    <w:name w:val="样式 宋体 小五 加粗 白色 居中 首行缩进:  2 字符"/>
    <w:basedOn w:val="1"/>
    <w:qFormat/>
    <w:uiPriority w:val="0"/>
    <w:pPr>
      <w:spacing w:line="300" w:lineRule="auto"/>
      <w:jc w:val="center"/>
    </w:pPr>
    <w:rPr>
      <w:rFonts w:ascii="宋体" w:hAnsi="宋体" w:cs="宋体"/>
      <w:b/>
      <w:bCs/>
      <w:color w:val="FFFFFF"/>
      <w:sz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6559</Words>
  <Characters>7005</Characters>
  <Lines>0</Lines>
  <Paragraphs>0</Paragraphs>
  <TotalTime>13</TotalTime>
  <ScaleCrop>false</ScaleCrop>
  <LinksUpToDate>false</LinksUpToDate>
  <CharactersWithSpaces>7233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2023-01-12T00:26:00Z</dcterms:created>
  <dc:creator>方寸之心（潘彩萍）</dc:creator>
  <cp:lastModifiedBy>巧儿</cp:lastModifiedBy>
  <cp:lastPrinted>2025-03-26T06:34:00Z</cp:lastPrinted>
  <dcterms:modified xsi:type="dcterms:W3CDTF">2025-03-26T07:18:48Z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4D22137E02054AEBA6F63878ABD6AB50_13</vt:lpwstr>
  </property>
  <property fmtid="{D5CDD505-2E9C-101B-9397-08002B2CF9AE}" pid="4" name="KSOTemplateDocerSaveRecord">
    <vt:lpwstr>eyJoZGlkIjoiZjBkZTQ4MDkwMjBiMTBjYzlkYmYyYTIzMTI3ZjA2ODMiLCJ1c2VySWQiOiIyMjcyODg5NTAifQ==</vt:lpwstr>
  </property>
</Properties>
</file>